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firstLine="0"/>
        <w:jc w:val="center"/>
        <w:rPr>
          <w:rFonts w:asciiTheme="minorHAnsi" w:hAnsiTheme="minorHAnsi" w:cstheme="minorHAnsi"/>
          <w:color w:val="1F497D" w:themeColor="text2"/>
          <w:sz w:val="20"/>
          <w:szCs w:val="20"/>
        </w:rPr>
      </w:pPr>
      <w:r>
        <w:rPr>
          <w:rFonts w:asciiTheme="minorHAnsi" w:hAnsiTheme="minorHAnsi" w:cstheme="minorHAnsi"/>
          <w:b/>
          <w:smallCaps/>
          <w:noProof/>
          <w:color w:val="1F497D" w:themeColor="text2"/>
          <w:sz w:val="44"/>
          <w:szCs w:val="44"/>
        </w:rPr>
        <mc:AlternateContent>
          <mc:Choice Requires="wps">
            <w:drawing>
              <wp:anchor distT="45720" distB="45720" distL="114300" distR="114300" simplePos="0" relativeHeight="251661312" behindDoc="0" locked="0" layoutInCell="1" allowOverlap="1">
                <wp:simplePos x="0" y="0"/>
                <wp:positionH relativeFrom="page">
                  <wp:posOffset>1818944</wp:posOffset>
                </wp:positionH>
                <wp:positionV relativeFrom="paragraph">
                  <wp:posOffset>-679147</wp:posOffset>
                </wp:positionV>
                <wp:extent cx="5276850" cy="1009015"/>
                <wp:effectExtent l="0" t="0" r="0" b="63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009015"/>
                        </a:xfrm>
                        <a:prstGeom prst="rect">
                          <a:avLst/>
                        </a:prstGeom>
                        <a:gradFill>
                          <a:gsLst>
                            <a:gs pos="23000">
                              <a:srgbClr val="EF5B34"/>
                            </a:gs>
                            <a:gs pos="75000">
                              <a:srgbClr val="902C8E"/>
                            </a:gs>
                          </a:gsLst>
                          <a:lin ang="0" scaled="1"/>
                        </a:gradFill>
                        <a:ln w="9525">
                          <a:noFill/>
                          <a:miter lim="800000"/>
                          <a:headEnd/>
                          <a:tailEnd/>
                        </a:ln>
                      </wps:spPr>
                      <wps:txbx>
                        <w:txbxContent>
                          <w:p>
                            <w:pPr>
                              <w:ind w:firstLine="0"/>
                              <w:jc w:val="center"/>
                              <w:rPr>
                                <w:rFonts w:ascii="DIN Pro Bold" w:hAnsi="DIN Pro Bold" w:cs="DIN Pro Bold"/>
                                <w:color w:val="FFFFFF" w:themeColor="background1"/>
                                <w:sz w:val="66"/>
                                <w:szCs w:val="66"/>
                              </w:rPr>
                            </w:pPr>
                            <w:r>
                              <w:rPr>
                                <w:rFonts w:ascii="DIN Pro Bold" w:hAnsi="DIN Pro Bold" w:cs="DIN Pro Bold"/>
                                <w:color w:val="FFFFFF" w:themeColor="background1"/>
                                <w:sz w:val="66"/>
                                <w:szCs w:val="66"/>
                              </w:rPr>
                              <w:t>Charte de fonctionnement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43.2pt;margin-top:-53.5pt;width:415.5pt;height:79.4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" fillcolor="#ef5b34" stroked="f">
                <v:fill color2="#902c8e" angle="90" colors="0 #ef5b34;15073f #ef5b34" focus="100%" type="gradient"/>
                <v:textbox>
                  <w:txbxContent>
                    <w:p>
                      <w:pPr>
                        <w:ind w:firstLine="0"/>
                        <w:jc w:val="center"/>
                        <w:rPr>
                          <w:rFonts w:ascii="DIN Pro Bold" w:hAnsi="DIN Pro Bold" w:cs="DIN Pro Bold"/>
                          <w:color w:val="FFFFFF" w:themeColor="background1"/>
                          <w:sz w:val="66"/>
                          <w:szCs w:val="66"/>
                        </w:rPr>
                      </w:pPr>
                      <w:r>
                        <w:rPr>
                          <w:rFonts w:ascii="DIN Pro Bold" w:hAnsi="DIN Pro Bold" w:cs="DIN Pro Bold"/>
                          <w:color w:val="FFFFFF" w:themeColor="background1"/>
                          <w:sz w:val="66"/>
                          <w:szCs w:val="66"/>
                        </w:rPr>
                        <w:t>Charte de fonctionnement</w:t>
                      </w:r>
                    </w:p>
                  </w:txbxContent>
                </v:textbox>
                <w10:wrap anchorx="page"/>
              </v:shape>
            </w:pict>
          </mc:Fallback>
        </mc:AlternateContent>
      </w:r>
      <w:r>
        <w:rPr>
          <w:rFonts w:asciiTheme="minorHAnsi" w:hAnsiTheme="minorHAnsi" w:cstheme="minorHAnsi"/>
          <w:b/>
          <w:noProof/>
          <w:color w:val="EF7D00"/>
          <w:sz w:val="52"/>
          <w:szCs w:val="52"/>
        </w:rPr>
        <w:drawing>
          <wp:anchor distT="0" distB="0" distL="114300" distR="114300" simplePos="0" relativeHeight="251664384" behindDoc="0" locked="0" layoutInCell="1" allowOverlap="1">
            <wp:simplePos x="0" y="0"/>
            <wp:positionH relativeFrom="margin">
              <wp:posOffset>-447040</wp:posOffset>
            </wp:positionH>
            <wp:positionV relativeFrom="paragraph">
              <wp:posOffset>-528320</wp:posOffset>
            </wp:positionV>
            <wp:extent cx="1295400" cy="7902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 PORTE VER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790205"/>
                    </a:xfrm>
                    <a:prstGeom prst="rect">
                      <a:avLst/>
                    </a:prstGeom>
                  </pic:spPr>
                </pic:pic>
              </a:graphicData>
            </a:graphic>
            <wp14:sizeRelH relativeFrom="page">
              <wp14:pctWidth>0</wp14:pctWidth>
            </wp14:sizeRelH>
            <wp14:sizeRelV relativeFrom="page">
              <wp14:pctHeight>0</wp14:pctHeight>
            </wp14:sizeRelV>
          </wp:anchor>
        </w:drawing>
      </w:r>
    </w:p>
    <w:p>
      <w:pPr>
        <w:pStyle w:val="Titre"/>
        <w:pBdr>
          <w:top w:val="none" w:sz="0" w:space="0" w:color="auto"/>
          <w:bottom w:val="none" w:sz="0" w:space="0" w:color="auto"/>
        </w:pBdr>
        <w:rPr>
          <w:rFonts w:ascii="DIN Pro Bold" w:hAnsi="DIN Pro Bold" w:cs="DIN Pro Bold"/>
          <w:b/>
          <w:i w:val="0"/>
          <w:smallCaps/>
          <w:color w:val="EF5B34"/>
          <w:sz w:val="20"/>
          <w:szCs w:val="20"/>
        </w:rPr>
      </w:pPr>
    </w:p>
    <w:p>
      <w:pPr>
        <w:pStyle w:val="Titre"/>
        <w:pBdr>
          <w:top w:val="none" w:sz="0" w:space="0" w:color="auto"/>
          <w:bottom w:val="none" w:sz="0" w:space="0" w:color="auto"/>
        </w:pBdr>
        <w:rPr>
          <w:rFonts w:ascii="DIN Pro Bold" w:hAnsi="DIN Pro Bold" w:cs="DIN Pro Bold"/>
          <w:b/>
          <w:i w:val="0"/>
          <w:smallCaps/>
          <w:color w:val="EF5B34"/>
          <w:sz w:val="52"/>
          <w:szCs w:val="52"/>
        </w:rPr>
      </w:pPr>
      <w:r>
        <w:rPr>
          <w:rFonts w:ascii="DIN Pro Bold" w:hAnsi="DIN Pro Bold" w:cs="DIN Pro Bold"/>
          <w:b/>
          <w:i w:val="0"/>
          <w:smallCaps/>
          <w:color w:val="EF5B34"/>
          <w:sz w:val="52"/>
          <w:szCs w:val="52"/>
        </w:rPr>
        <w:t xml:space="preserve">Hôpital de jour </w:t>
      </w:r>
    </w:p>
    <w:p>
      <w:pPr>
        <w:pStyle w:val="Titre"/>
        <w:pBdr>
          <w:top w:val="none" w:sz="0" w:space="0" w:color="auto"/>
          <w:bottom w:val="none" w:sz="0" w:space="0" w:color="auto"/>
        </w:pBdr>
        <w:rPr>
          <w:rFonts w:ascii="DIN Pro Bold" w:hAnsi="DIN Pro Bold" w:cs="DIN Pro Bold"/>
          <w:b/>
          <w:i w:val="0"/>
          <w:color w:val="EF5B34"/>
          <w:sz w:val="52"/>
          <w:szCs w:val="52"/>
        </w:rPr>
      </w:pPr>
      <w:r>
        <w:rPr>
          <w:rFonts w:ascii="DIN Pro Bold" w:hAnsi="DIN Pro Bold" w:cs="DIN Pro Bold"/>
          <w:b/>
          <w:i w:val="0"/>
          <w:color w:val="EF5B34"/>
          <w:sz w:val="52"/>
          <w:szCs w:val="52"/>
        </w:rPr>
        <w:t>Soins médicaux et de réadaptation gériatriques (SMRG)</w:t>
      </w:r>
    </w:p>
    <w:p>
      <w:pPr>
        <w:ind w:firstLine="0"/>
        <w:rPr>
          <w:rStyle w:val="Emphaseple"/>
          <w:rFonts w:asciiTheme="minorHAnsi" w:hAnsiTheme="minorHAnsi" w:cstheme="minorHAnsi"/>
        </w:rPr>
      </w:pPr>
    </w:p>
    <w:p>
      <w:pPr>
        <w:pBdr>
          <w:top w:val="single" w:sz="4" w:space="1" w:color="808080" w:themeColor="background1" w:themeShade="80"/>
          <w:bottom w:val="single" w:sz="4" w:space="1" w:color="808080" w:themeColor="background1" w:themeShade="80"/>
        </w:pBdr>
        <w:ind w:left="-709" w:right="-709" w:firstLine="0"/>
        <w:jc w:val="both"/>
        <w:rPr>
          <w:rStyle w:val="Emphaseple"/>
          <w:rFonts w:ascii="DIN Pro Regular" w:hAnsi="DIN Pro Regular" w:cs="DIN Pro Regular"/>
          <w:i w:val="0"/>
          <w:sz w:val="20"/>
          <w:szCs w:val="20"/>
        </w:rPr>
      </w:pPr>
      <w:r>
        <w:rPr>
          <w:rStyle w:val="Emphaseple"/>
          <w:rFonts w:ascii="DIN Pro Regular" w:hAnsi="DIN Pro Regular" w:cs="DIN Pro Regular"/>
          <w:i w:val="0"/>
          <w:sz w:val="20"/>
          <w:szCs w:val="20"/>
        </w:rPr>
        <w:t xml:space="preserve">Vous trouverez ci-après les informations pratiques utiles dans le cadre de votre prise en charge en hospitalisation de jour en soins de SMR gériatriques à l’Hôpital La Porte Verte. </w:t>
      </w:r>
    </w:p>
    <w:p>
      <w:pPr>
        <w:ind w:firstLine="0"/>
      </w:pPr>
    </w:p>
    <w:p>
      <w:pPr>
        <w:ind w:firstLine="0"/>
        <w:sectPr>
          <w:headerReference w:type="even" r:id="rId9"/>
          <w:footerReference w:type="default" r:id="rId10"/>
          <w:headerReference w:type="first" r:id="rId11"/>
          <w:pgSz w:w="11906" w:h="16838"/>
          <w:pgMar w:top="1417" w:right="1417" w:bottom="993" w:left="1417" w:header="708" w:footer="708" w:gutter="0"/>
          <w:cols w:space="708"/>
          <w:docGrid w:linePitch="360"/>
        </w:sectPr>
      </w:pPr>
    </w:p>
    <w:p>
      <w:pPr>
        <w:pStyle w:val="Titre1"/>
      </w:pPr>
      <w:r>
        <w:t>Etes-vous concerné ?</w:t>
      </w:r>
    </w:p>
    <w:p>
      <w:pPr>
        <w:ind w:firstLine="0"/>
        <w:rPr>
          <w:rFonts w:ascii="DIN Pro Regular" w:hAnsi="DIN Pro Regular" w:cs="DIN Pro Regular"/>
          <w:sz w:val="20"/>
          <w:szCs w:val="20"/>
        </w:rPr>
      </w:pPr>
      <w:r>
        <w:rPr>
          <w:rFonts w:ascii="DIN Pro Regular" w:hAnsi="DIN Pro Regular" w:cs="DIN Pro Regular"/>
          <w:sz w:val="20"/>
          <w:szCs w:val="20"/>
        </w:rPr>
        <w:t xml:space="preserve">L’Hôpital de jour SMRG de l’Hôpital la Porte Verte accueille des patients de plus de 75 ans qui présentent des fragilités liées à l’âge, ont des troubles de la mémoire et/ou ont besoin d’une prise en charge après un AVC et dont l’état nécessite une prise en charge ambulatoire. </w:t>
      </w:r>
    </w:p>
    <w:p>
      <w:pPr>
        <w:ind w:right="-428" w:firstLine="0"/>
        <w:rPr>
          <w:rFonts w:ascii="DIN Pro Regular" w:hAnsi="DIN Pro Regular" w:cs="DIN Pro Regular"/>
          <w:sz w:val="20"/>
          <w:szCs w:val="20"/>
        </w:rPr>
      </w:pPr>
    </w:p>
    <w:p>
      <w:pPr>
        <w:ind w:firstLine="0"/>
        <w:rPr>
          <w:rFonts w:ascii="DIN Pro Regular" w:hAnsi="DIN Pro Regular" w:cs="DIN Pro Regular"/>
          <w:sz w:val="20"/>
          <w:szCs w:val="20"/>
        </w:rPr>
      </w:pPr>
      <w:r>
        <w:rPr>
          <w:rFonts w:ascii="DIN Pro Regular" w:hAnsi="DIN Pro Regular" w:cs="DIN Pro Regular"/>
          <w:sz w:val="20"/>
          <w:szCs w:val="20"/>
        </w:rPr>
        <w:t xml:space="preserve">L'hospitalisation à temps partiel de jour est une alternative à l'hospitalisation à temps complet. Les prestations délivrées équivalent par leur nature, leur complexité et la surveillance médicale qu'elles requièrent à des prestations habituellement effectuées dans le cadre d'une hospitalisation à temps complet. </w:t>
      </w:r>
    </w:p>
    <w:p>
      <w:pPr>
        <w:pStyle w:val="Sansinterligne"/>
        <w:rPr>
          <w:rFonts w:ascii="DIN Pro Regular" w:hAnsi="DIN Pro Regular" w:cs="DIN Pro Regular"/>
        </w:rPr>
      </w:pPr>
    </w:p>
    <w:p>
      <w:pPr>
        <w:pStyle w:val="Titre1"/>
      </w:pPr>
      <w:r>
        <w:t>Quelles sont les conditions pour être admis à l’hôpital de jour ?</w:t>
      </w:r>
    </w:p>
    <w:p>
      <w:pPr>
        <w:pStyle w:val="Sansinterligne"/>
        <w:rPr>
          <w:rFonts w:ascii="DIN Pro Regular" w:hAnsi="DIN Pro Regular" w:cs="DIN Pro Regular"/>
        </w:rPr>
      </w:pPr>
      <w:r>
        <w:rPr>
          <w:rFonts w:ascii="DIN Pro Regular" w:hAnsi="DIN Pro Regular" w:cs="DIN Pro Regular"/>
        </w:rPr>
        <w:t xml:space="preserve">Votre médecin traitant ou un médecin spécialiste (gériatre, neurologue), doit vous avoir prescrit des séances en hôpital de jour. Votre demande d’admission doit être adressée au secrétariat de l’hôpital de jour par courrier, par fax au 01.39.63.74.17 ou par </w:t>
      </w:r>
      <w:proofErr w:type="spellStart"/>
      <w:r>
        <w:rPr>
          <w:rFonts w:ascii="DIN Pro Regular" w:hAnsi="DIN Pro Regular" w:cs="DIN Pro Regular"/>
          <w:i/>
        </w:rPr>
        <w:t>ViaTrajectoire</w:t>
      </w:r>
      <w:proofErr w:type="spellEnd"/>
      <w:r>
        <w:rPr>
          <w:rFonts w:ascii="DIN Pro Regular" w:hAnsi="DIN Pro Regular" w:cs="DIN Pro Regular"/>
        </w:rPr>
        <w:t>.</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Elle doit être accompagnée des documents suivants : courrier du médecin demandant la prise en charge, traitements habituels, comptes rendus d’hospitalisations et des derniers examens complémentaires.</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Votre demande d’admission sera examinée lors d’une commission hebdomadaire qui réunit le médecin coordonnateur, l’infirmière coordinatrice, le cadre de santé, la secrétaire d’HDJ.</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Lorsque vous venez du domicile, une consultation de préadmission peut vous être proposée pour définir le projet de soins.</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L’avis de la commission d’admission vous est communiqué par l’infirmière coordinatrice.</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En cas d’admission, celle-ci vous communique un planning de rendez-vous pour la première semaine de prise en charge à l’hôpital de jour (horaires des différentes séances et rendez-vous de consultations médicales).</w:t>
      </w:r>
    </w:p>
    <w:p>
      <w:pPr>
        <w:pStyle w:val="Sansinterligne"/>
        <w:rPr>
          <w:rFonts w:ascii="DIN Pro Regular" w:hAnsi="DIN Pro Regular" w:cs="DIN Pro Regular"/>
        </w:rPr>
      </w:pPr>
    </w:p>
    <w:p>
      <w:pPr>
        <w:pStyle w:val="Titre1"/>
      </w:pPr>
      <w:r>
        <w:t>Combien vous coûte la prise en charge ?</w:t>
      </w:r>
    </w:p>
    <w:p>
      <w:pPr>
        <w:pStyle w:val="Sansinterligne"/>
        <w:rPr>
          <w:rFonts w:ascii="DIN Pro Regular" w:hAnsi="DIN Pro Regular" w:cs="DIN Pro Regular"/>
        </w:rPr>
      </w:pPr>
      <w:r>
        <w:rPr>
          <w:rFonts w:ascii="DIN Pro Regular" w:hAnsi="DIN Pro Regular" w:cs="DIN Pro Regular"/>
        </w:rPr>
        <w:t>L’hospitalisation de jour donne lieu à une prise en charge financière par l’assurance maladie à l’exception du ticket modérateur qui reste à votre charge ou, le cas échéant, à celle de votre mutuelle, hors cas particuliers ou affections de longue durée (ALD). La déclaration d’affection de longue durée est faite par le médecin traitant.</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 xml:space="preserve">Les transports « aller et retour » sont organisés par votre entourage ou vous-même et sont financièrement à votre charge sauf cas particuliers ou affections de longue durée. </w:t>
      </w:r>
    </w:p>
    <w:p>
      <w:pPr>
        <w:pStyle w:val="Sansinterligne"/>
        <w:rPr>
          <w:rFonts w:ascii="DIN Pro Regular" w:hAnsi="DIN Pro Regular" w:cs="DIN Pro Regular"/>
        </w:rPr>
      </w:pPr>
    </w:p>
    <w:p>
      <w:pPr>
        <w:pStyle w:val="Titre1"/>
      </w:pPr>
      <w:r>
        <w:t>Où se trouve l’hôpital de jour ?</w:t>
      </w:r>
    </w:p>
    <w:p>
      <w:pPr>
        <w:pStyle w:val="Titre5"/>
      </w:pPr>
      <w:r>
        <w:t>Locaux</w:t>
      </w:r>
    </w:p>
    <w:p>
      <w:pPr>
        <w:pStyle w:val="Sansinterligne"/>
        <w:rPr>
          <w:rFonts w:ascii="DIN Pro Regular" w:hAnsi="DIN Pro Regular" w:cs="DIN Pro Regular"/>
        </w:rPr>
      </w:pPr>
      <w:r>
        <w:rPr>
          <w:rFonts w:ascii="DIN Pro Regular" w:hAnsi="DIN Pro Regular" w:cs="DIN Pro Regular"/>
        </w:rPr>
        <w:t>L’hôpital de jour est situé, dans des locaux dédiés, au rez-de-chaussée.</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 xml:space="preserve">Il comprend un poste de soin, une salle de repos, un bureau IDE, </w:t>
      </w:r>
      <w:proofErr w:type="gramStart"/>
      <w:r>
        <w:rPr>
          <w:rFonts w:ascii="DIN Pro Regular" w:hAnsi="DIN Pro Regular" w:cs="DIN Pro Regular"/>
        </w:rPr>
        <w:t>des box</w:t>
      </w:r>
      <w:proofErr w:type="gramEnd"/>
      <w:r>
        <w:rPr>
          <w:rFonts w:ascii="DIN Pro Regular" w:hAnsi="DIN Pro Regular" w:cs="DIN Pro Regular"/>
        </w:rPr>
        <w:t xml:space="preserve"> de consultation, des chambres simples dédiées équipées, d’une salle d’activités dédiée. Vous aurez également accès à l’ensemble du plateau technique de l’Hôpital en cas de besoin.</w:t>
      </w:r>
    </w:p>
    <w:p>
      <w:pPr>
        <w:pStyle w:val="Sansinterligne"/>
        <w:rPr>
          <w:rFonts w:ascii="DIN Pro Regular" w:hAnsi="DIN Pro Regular" w:cs="DIN Pro Regular"/>
        </w:rPr>
      </w:pPr>
    </w:p>
    <w:p>
      <w:pPr>
        <w:pStyle w:val="Titre5"/>
      </w:pPr>
      <w:r>
        <w:t>Accès</w:t>
      </w:r>
    </w:p>
    <w:p>
      <w:pPr>
        <w:pStyle w:val="Sansinterligne"/>
        <w:rPr>
          <w:rFonts w:ascii="DIN Pro Regular" w:hAnsi="DIN Pro Regular" w:cs="DIN Pro Regular"/>
        </w:rPr>
      </w:pPr>
      <w:r>
        <w:rPr>
          <w:rFonts w:ascii="DIN Pro Regular" w:hAnsi="DIN Pro Regular" w:cs="DIN Pro Regular"/>
        </w:rPr>
        <w:t xml:space="preserve">L’hôpital de jour est accessible par l’entrée Sud de l’Hôpital. </w:t>
      </w:r>
      <w:bookmarkStart w:id="0" w:name="_GoBack"/>
      <w:bookmarkEnd w:id="0"/>
      <w:r>
        <w:rPr>
          <w:rFonts w:ascii="DIN Pro Regular" w:hAnsi="DIN Pro Regular" w:cs="DIN Pro Regular"/>
        </w:rPr>
        <w:t>A partir du hall, suivez la signalétique « Hôpital de jour ».</w:t>
      </w:r>
    </w:p>
    <w:p>
      <w:pPr>
        <w:pStyle w:val="Sansinterligne"/>
        <w:rPr>
          <w:rFonts w:ascii="DIN Pro Regular" w:hAnsi="DIN Pro Regular" w:cs="DIN Pro Regular"/>
        </w:rPr>
      </w:pPr>
    </w:p>
    <w:p>
      <w:pPr>
        <w:pStyle w:val="Titre1"/>
      </w:pPr>
      <w:r>
        <w:t>Un programme de soins personnalisé</w:t>
      </w:r>
    </w:p>
    <w:p>
      <w:pPr>
        <w:ind w:right="-428" w:firstLine="0"/>
        <w:rPr>
          <w:rFonts w:ascii="DIN Pro Regular" w:eastAsia="Calibri" w:hAnsi="DIN Pro Regular" w:cs="DIN Pro Regular"/>
          <w:sz w:val="20"/>
          <w:szCs w:val="20"/>
          <w:lang w:eastAsia="en-US"/>
        </w:rPr>
      </w:pPr>
      <w:r>
        <w:rPr>
          <w:rFonts w:ascii="DIN Pro Regular" w:eastAsia="Calibri" w:hAnsi="DIN Pro Regular" w:cs="DIN Pro Regular"/>
          <w:sz w:val="20"/>
          <w:szCs w:val="20"/>
          <w:lang w:eastAsia="en-US"/>
        </w:rPr>
        <w:lastRenderedPageBreak/>
        <w:t>En hôpital de jour, vous bénéficiez d’un programme de soins personnalisé défini par votre médecin référent et réalisé par une équipe pluridisciplinaire.</w:t>
      </w:r>
    </w:p>
    <w:p>
      <w:pPr>
        <w:ind w:right="-428" w:firstLine="0"/>
        <w:rPr>
          <w:rFonts w:ascii="DIN Pro Regular" w:hAnsi="DIN Pro Regular" w:cs="DIN Pro Regular"/>
          <w:sz w:val="20"/>
          <w:szCs w:val="20"/>
        </w:rPr>
      </w:pPr>
      <w:r>
        <w:rPr>
          <w:rFonts w:ascii="DIN Pro Regular" w:eastAsia="Calibri" w:hAnsi="DIN Pro Regular" w:cs="DIN Pro Regular"/>
          <w:sz w:val="20"/>
          <w:szCs w:val="20"/>
          <w:lang w:eastAsia="en-US"/>
        </w:rPr>
        <w:t>Il comprend au moins 2 séances, individuelles ou collectives, parmi les intervenants suivants :</w:t>
      </w:r>
    </w:p>
    <w:p>
      <w:pPr>
        <w:pStyle w:val="Sansinterligne"/>
        <w:numPr>
          <w:ilvl w:val="0"/>
          <w:numId w:val="2"/>
        </w:numPr>
        <w:rPr>
          <w:rFonts w:ascii="DIN Pro Regular" w:eastAsia="Calibri" w:hAnsi="DIN Pro Regular" w:cs="DIN Pro Regular"/>
          <w:lang w:eastAsia="en-US"/>
        </w:rPr>
      </w:pPr>
      <w:r>
        <w:rPr>
          <w:rFonts w:ascii="DIN Pro Regular" w:eastAsia="Calibri" w:hAnsi="DIN Pro Regular" w:cs="DIN Pro Regular"/>
          <w:lang w:eastAsia="en-US"/>
        </w:rPr>
        <w:t>Kinésithérapeute</w:t>
      </w:r>
    </w:p>
    <w:p>
      <w:pPr>
        <w:pStyle w:val="Sansinterligne"/>
        <w:numPr>
          <w:ilvl w:val="0"/>
          <w:numId w:val="2"/>
        </w:numPr>
        <w:rPr>
          <w:rFonts w:ascii="DIN Pro Regular" w:eastAsia="Calibri" w:hAnsi="DIN Pro Regular" w:cs="DIN Pro Regular"/>
          <w:lang w:eastAsia="en-US"/>
        </w:rPr>
      </w:pPr>
      <w:r>
        <w:rPr>
          <w:rFonts w:ascii="DIN Pro Regular" w:eastAsia="Calibri" w:hAnsi="DIN Pro Regular" w:cs="DIN Pro Regular"/>
          <w:lang w:eastAsia="en-US"/>
        </w:rPr>
        <w:t>Educateur en Activité Physique Adaptée</w:t>
      </w:r>
    </w:p>
    <w:p>
      <w:pPr>
        <w:pStyle w:val="Sansinterligne"/>
        <w:numPr>
          <w:ilvl w:val="0"/>
          <w:numId w:val="2"/>
        </w:numPr>
        <w:rPr>
          <w:rFonts w:ascii="DIN Pro Regular" w:eastAsia="Calibri" w:hAnsi="DIN Pro Regular" w:cs="DIN Pro Regular"/>
          <w:lang w:eastAsia="en-US"/>
        </w:rPr>
      </w:pPr>
      <w:r>
        <w:rPr>
          <w:rFonts w:ascii="DIN Pro Regular" w:eastAsia="Calibri" w:hAnsi="DIN Pro Regular" w:cs="DIN Pro Regular"/>
          <w:lang w:eastAsia="en-US"/>
        </w:rPr>
        <w:t>Ergothérapeute</w:t>
      </w:r>
    </w:p>
    <w:p>
      <w:pPr>
        <w:pStyle w:val="Sansinterligne"/>
        <w:numPr>
          <w:ilvl w:val="0"/>
          <w:numId w:val="2"/>
        </w:numPr>
        <w:rPr>
          <w:rFonts w:ascii="DIN Pro Regular" w:eastAsia="Calibri" w:hAnsi="DIN Pro Regular" w:cs="DIN Pro Regular"/>
          <w:lang w:eastAsia="en-US"/>
        </w:rPr>
      </w:pPr>
      <w:r>
        <w:rPr>
          <w:rFonts w:ascii="DIN Pro Regular" w:eastAsia="Calibri" w:hAnsi="DIN Pro Regular" w:cs="DIN Pro Regular"/>
          <w:lang w:eastAsia="en-US"/>
        </w:rPr>
        <w:t>Psychomotricien</w:t>
      </w:r>
    </w:p>
    <w:p>
      <w:pPr>
        <w:pStyle w:val="Sansinterligne"/>
        <w:numPr>
          <w:ilvl w:val="0"/>
          <w:numId w:val="2"/>
        </w:numPr>
        <w:rPr>
          <w:rFonts w:ascii="DIN Pro Regular" w:eastAsia="Calibri" w:hAnsi="DIN Pro Regular" w:cs="DIN Pro Regular"/>
          <w:lang w:eastAsia="en-US"/>
        </w:rPr>
      </w:pPr>
      <w:r>
        <w:rPr>
          <w:rFonts w:ascii="DIN Pro Regular" w:eastAsia="Calibri" w:hAnsi="DIN Pro Regular" w:cs="DIN Pro Regular"/>
          <w:lang w:eastAsia="en-US"/>
        </w:rPr>
        <w:t>Neuropsychologue</w:t>
      </w:r>
    </w:p>
    <w:p>
      <w:pPr>
        <w:pStyle w:val="Sansinterligne"/>
        <w:numPr>
          <w:ilvl w:val="0"/>
          <w:numId w:val="2"/>
        </w:numPr>
        <w:rPr>
          <w:rFonts w:ascii="DIN Pro Regular" w:eastAsia="Calibri" w:hAnsi="DIN Pro Regular" w:cs="DIN Pro Regular"/>
          <w:lang w:eastAsia="en-US"/>
        </w:rPr>
      </w:pPr>
      <w:r>
        <w:rPr>
          <w:rFonts w:ascii="DIN Pro Regular" w:eastAsia="Calibri" w:hAnsi="DIN Pro Regular" w:cs="DIN Pro Regular"/>
          <w:lang w:eastAsia="en-US"/>
        </w:rPr>
        <w:t>Orthophoniste</w:t>
      </w:r>
    </w:p>
    <w:p>
      <w:pPr>
        <w:pStyle w:val="Sansinterligne"/>
        <w:numPr>
          <w:ilvl w:val="0"/>
          <w:numId w:val="2"/>
        </w:numPr>
        <w:rPr>
          <w:rFonts w:ascii="DIN Pro Regular" w:eastAsia="Calibri" w:hAnsi="DIN Pro Regular" w:cs="DIN Pro Regular"/>
          <w:lang w:eastAsia="en-US"/>
        </w:rPr>
      </w:pPr>
      <w:r>
        <w:rPr>
          <w:rFonts w:ascii="DIN Pro Regular" w:eastAsia="Calibri" w:hAnsi="DIN Pro Regular" w:cs="DIN Pro Regular"/>
          <w:lang w:eastAsia="en-US"/>
        </w:rPr>
        <w:t xml:space="preserve">Diététicienne </w:t>
      </w:r>
    </w:p>
    <w:p>
      <w:pPr>
        <w:pStyle w:val="Sansinterligne"/>
        <w:numPr>
          <w:ilvl w:val="0"/>
          <w:numId w:val="2"/>
        </w:numPr>
        <w:rPr>
          <w:rFonts w:ascii="DIN Pro Regular" w:eastAsia="Calibri" w:hAnsi="DIN Pro Regular" w:cs="DIN Pro Regular"/>
          <w:lang w:eastAsia="en-US"/>
        </w:rPr>
      </w:pPr>
      <w:r>
        <w:rPr>
          <w:rFonts w:ascii="DIN Pro Regular" w:eastAsia="Calibri" w:hAnsi="DIN Pro Regular" w:cs="DIN Pro Regular"/>
          <w:lang w:eastAsia="en-US"/>
        </w:rPr>
        <w:t>Assistante sociale</w:t>
      </w:r>
    </w:p>
    <w:p>
      <w:pPr>
        <w:pStyle w:val="Sansinterligne"/>
        <w:numPr>
          <w:ilvl w:val="0"/>
          <w:numId w:val="2"/>
        </w:numPr>
        <w:rPr>
          <w:rFonts w:ascii="DIN Pro Regular" w:eastAsia="Calibri" w:hAnsi="DIN Pro Regular" w:cs="DIN Pro Regular"/>
          <w:lang w:eastAsia="en-US"/>
        </w:rPr>
      </w:pPr>
      <w:r>
        <w:rPr>
          <w:rFonts w:ascii="DIN Pro Regular" w:eastAsia="Calibri" w:hAnsi="DIN Pro Regular" w:cs="DIN Pro Regular"/>
          <w:lang w:eastAsia="en-US"/>
        </w:rPr>
        <w:t>Médecin</w:t>
      </w:r>
    </w:p>
    <w:p>
      <w:pPr>
        <w:pStyle w:val="Sansinterligne"/>
        <w:rPr>
          <w:rFonts w:ascii="DIN Pro Regular" w:eastAsia="Calibri" w:hAnsi="DIN Pro Regular" w:cs="DIN Pro Regular"/>
          <w:lang w:eastAsia="en-US"/>
        </w:rPr>
      </w:pPr>
    </w:p>
    <w:p>
      <w:pPr>
        <w:pStyle w:val="Sansinterligne"/>
        <w:rPr>
          <w:rFonts w:ascii="DIN Pro Regular" w:hAnsi="DIN Pro Regular" w:cs="DIN Pro Regular"/>
        </w:rPr>
      </w:pPr>
      <w:r>
        <w:rPr>
          <w:rFonts w:ascii="DIN Pro Regular" w:hAnsi="DIN Pro Regular" w:cs="DIN Pro Regular"/>
        </w:rPr>
        <w:t>L’hôpital de jour est équipé d’un plateau technique de réadaptation comprenant une salle de réadaptation adaptée et de box de consultations individuels.</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Tous les soins sont réalisés uniquement sur prescription médicale.</w:t>
      </w:r>
    </w:p>
    <w:p>
      <w:pPr>
        <w:pStyle w:val="Sansinterligne"/>
        <w:rPr>
          <w:rFonts w:ascii="DIN Pro Regular" w:hAnsi="DIN Pro Regular" w:cs="DIN Pro Regular"/>
        </w:rPr>
      </w:pPr>
    </w:p>
    <w:p>
      <w:pPr>
        <w:pStyle w:val="Sansinterligne"/>
        <w:rPr>
          <w:rFonts w:ascii="DIN Pro Regular" w:hAnsi="DIN Pro Regular" w:cs="DIN Pro Regular"/>
          <w:strike/>
        </w:rPr>
      </w:pPr>
      <w:r>
        <w:rPr>
          <w:rFonts w:ascii="DIN Pro Regular" w:hAnsi="DIN Pro Regular" w:cs="DIN Pro Regular"/>
        </w:rPr>
        <w:t>Si votre état le nécessite et après avis médical, des consultations spécialisées complémentaires peuvent vous être proposées au sein de l’établissement ainsi que l’accès au plateau technique présent sur le site de L’Hôpital La Porte Verte (scanner, IRM, radiologie conventionnelle, etc.).</w:t>
      </w:r>
    </w:p>
    <w:p>
      <w:pPr>
        <w:pStyle w:val="Sansinterligne"/>
        <w:rPr>
          <w:rFonts w:ascii="DIN Pro Regular" w:hAnsi="DIN Pro Regular" w:cs="DIN Pro Regular"/>
          <w:strike/>
        </w:rPr>
      </w:pPr>
    </w:p>
    <w:p>
      <w:pPr>
        <w:pStyle w:val="Sansinterligne"/>
        <w:rPr>
          <w:rFonts w:ascii="DIN Pro Regular" w:hAnsi="DIN Pro Regular" w:cs="DIN Pro Regular"/>
        </w:rPr>
      </w:pPr>
      <w:r>
        <w:rPr>
          <w:rFonts w:ascii="DIN Pro Regular" w:hAnsi="DIN Pro Regular" w:cs="DIN Pro Regular"/>
        </w:rPr>
        <w:t>La durée totale de prise en charge en hospitalisation de jour (3 mois généralement) est définie et réévaluée par le médecin gériatre lors des différentes consultations de suivi.</w:t>
      </w:r>
    </w:p>
    <w:p>
      <w:pPr>
        <w:pStyle w:val="Sansinterligne"/>
        <w:rPr>
          <w:rFonts w:ascii="DIN Pro Regular" w:hAnsi="DIN Pro Regular" w:cs="DIN Pro Regular"/>
        </w:rPr>
      </w:pPr>
    </w:p>
    <w:p>
      <w:pPr>
        <w:pStyle w:val="Sansinterligne"/>
        <w:rPr>
          <w:rFonts w:ascii="DIN Pro Regular" w:hAnsi="DIN Pro Regular" w:cs="DIN Pro Regular"/>
        </w:rPr>
      </w:pPr>
    </w:p>
    <w:p>
      <w:pPr>
        <w:pStyle w:val="Titre1"/>
      </w:pPr>
      <w:r>
        <w:t>Votre programme personnalisé</w:t>
      </w:r>
    </w:p>
    <w:p>
      <w:pPr>
        <w:pStyle w:val="Sansinterligne"/>
        <w:rPr>
          <w:rFonts w:ascii="DIN Pro Regular" w:hAnsi="DIN Pro Regular" w:cs="DIN Pro Regular"/>
        </w:rPr>
      </w:pPr>
      <w:r>
        <w:rPr>
          <w:rFonts w:ascii="DIN Pro Regular" w:hAnsi="DIN Pro Regular" w:cs="DIN Pro Regular"/>
        </w:rPr>
        <w:t>Il se présente sous forme d’un planning hebdomadaire (sous forme papier) établi sur les consignes de votre médecin référent.</w:t>
      </w:r>
    </w:p>
    <w:p>
      <w:pPr>
        <w:pStyle w:val="Sansinterligne"/>
        <w:rPr>
          <w:rFonts w:ascii="DIN Pro Regular" w:hAnsi="DIN Pro Regular" w:cs="DIN Pro Regular"/>
        </w:rPr>
      </w:pPr>
      <w:r>
        <w:rPr>
          <w:rFonts w:ascii="DIN Pro Regular" w:hAnsi="DIN Pro Regular" w:cs="DIN Pro Regular"/>
        </w:rPr>
        <w:t xml:space="preserve">Il précise vos jours ou demi-journées d’hospitalisation et les professionnels que vous allez rencontrer (ateliers, consultation avec le médecin gériatre, rencontre avec l’assistante sociale, etc.). </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A chaque fin de séance (demi-journée), l’intervenant vous accompagne jusqu’à l’atelier suivant.</w:t>
      </w:r>
    </w:p>
    <w:p>
      <w:pPr>
        <w:pStyle w:val="Sansinterligne"/>
        <w:rPr>
          <w:rFonts w:ascii="DIN Pro Regular" w:hAnsi="DIN Pro Regular" w:cs="DIN Pro Regular"/>
        </w:rPr>
      </w:pPr>
      <w:r>
        <w:rPr>
          <w:rFonts w:ascii="DIN Pro Regular" w:hAnsi="DIN Pro Regular" w:cs="DIN Pro Regular"/>
        </w:rPr>
        <w:t>Vous devez toujours débuter et terminer votre demi-journée en vous présentant à l’IDE.</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Les consultations médicales s’effectuent à une fréquence adaptée à votre pathologie.</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 xml:space="preserve">En parallèle, le médecin organise une réunion </w:t>
      </w:r>
      <w:proofErr w:type="spellStart"/>
      <w:r>
        <w:rPr>
          <w:rFonts w:ascii="DIN Pro Regular" w:hAnsi="DIN Pro Regular" w:cs="DIN Pro Regular"/>
        </w:rPr>
        <w:t>pluriprofessionnelle</w:t>
      </w:r>
      <w:proofErr w:type="spellEnd"/>
      <w:r>
        <w:rPr>
          <w:rFonts w:ascii="DIN Pro Regular" w:hAnsi="DIN Pro Regular" w:cs="DIN Pro Regular"/>
        </w:rPr>
        <w:t xml:space="preserve"> avec tous vos intervenants dans les dix premiers jours de votre arrivée et au bout d’un mois d’hospitalisation pour valider ou adapter votre programme de prise en charge.</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L’hôpital de jour prend en compte votre état clinique global (douleur, fatigue, …).</w:t>
      </w:r>
    </w:p>
    <w:p>
      <w:pPr>
        <w:pStyle w:val="Sansinterligne"/>
        <w:rPr>
          <w:rFonts w:ascii="DIN Pro Regular" w:hAnsi="DIN Pro Regular" w:cs="DIN Pro Regular"/>
        </w:rPr>
      </w:pPr>
    </w:p>
    <w:p>
      <w:pPr>
        <w:pStyle w:val="Titre1"/>
      </w:pPr>
      <w:r>
        <w:t>Comment fonctionne l’hôpital de jour ?</w:t>
      </w:r>
    </w:p>
    <w:p>
      <w:pPr>
        <w:pStyle w:val="Titre5"/>
      </w:pPr>
      <w:r>
        <w:t>Horaires et jours d’ouverture de l’hôpital de jour</w:t>
      </w:r>
    </w:p>
    <w:p>
      <w:pPr>
        <w:pStyle w:val="Sansinterligne"/>
        <w:keepNext/>
        <w:rPr>
          <w:rFonts w:ascii="DIN Pro Regular" w:hAnsi="DIN Pro Regular" w:cs="DIN Pro Regular"/>
        </w:rPr>
      </w:pPr>
      <w:r>
        <w:rPr>
          <w:rFonts w:ascii="DIN Pro Regular" w:hAnsi="DIN Pro Regular" w:cs="DIN Pro Regular"/>
        </w:rPr>
        <w:t>L’hôpital de jour est ouvert de 9h00 à 17h00 du lundi au vendredi sauf jour férié.</w:t>
      </w:r>
    </w:p>
    <w:p>
      <w:pPr>
        <w:pStyle w:val="Sansinterligne"/>
        <w:keepNext/>
        <w:rPr>
          <w:rFonts w:ascii="DIN Pro Regular" w:hAnsi="DIN Pro Regular" w:cs="DIN Pro Regular"/>
        </w:rPr>
      </w:pPr>
    </w:p>
    <w:p>
      <w:pPr>
        <w:pStyle w:val="Titre5"/>
      </w:pPr>
      <w:r>
        <w:t>Le premier jour</w:t>
      </w:r>
    </w:p>
    <w:p>
      <w:pPr>
        <w:pStyle w:val="Sansinterligne"/>
        <w:rPr>
          <w:rFonts w:ascii="DIN Pro Regular" w:hAnsi="DIN Pro Regular" w:cs="DIN Pro Regular"/>
        </w:rPr>
      </w:pPr>
      <w:r>
        <w:rPr>
          <w:rFonts w:ascii="DIN Pro Regular" w:hAnsi="DIN Pro Regular" w:cs="DIN Pro Regular"/>
        </w:rPr>
        <w:t xml:space="preserve">A votre arrivée, présentez-vous au service des admissions au rez-de-chaussée pour obtenir un numéro de dossier (IPP). </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Ensuite, suivez la signalisation « Hôpital de jour » et rendez-vous dans la salle d’accueil de l’hôpital de jour. Les jours suivants vous irez directement dans le service.</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A votre arrivée dans le service d’hôpital de jour, vous êtes accueilli par l’infirmière.</w:t>
      </w:r>
    </w:p>
    <w:p>
      <w:pPr>
        <w:pStyle w:val="Sansinterligne"/>
        <w:rPr>
          <w:rFonts w:ascii="DIN Pro Regular" w:hAnsi="DIN Pro Regular" w:cs="DIN Pro Regular"/>
        </w:rPr>
      </w:pPr>
      <w:r>
        <w:rPr>
          <w:rFonts w:ascii="DIN Pro Regular" w:hAnsi="DIN Pro Regular" w:cs="DIN Pro Regular"/>
        </w:rPr>
        <w:t>Elle vous remet votre programme personnalisé.</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 xml:space="preserve">La prise en charge débute par la consultation médicale avec le médecin gériatre qui assurera votre suivi, définira les objectifs du séjour, la fréquence des consultations, la durée prévisionnelle du séjour et les éventuels examens complémentaires. </w:t>
      </w:r>
    </w:p>
    <w:p>
      <w:pPr>
        <w:pStyle w:val="Sansinterligne"/>
        <w:rPr>
          <w:rFonts w:ascii="DIN Pro Regular" w:hAnsi="DIN Pro Regular" w:cs="DIN Pro Regular"/>
        </w:rPr>
      </w:pPr>
    </w:p>
    <w:p>
      <w:pPr>
        <w:pStyle w:val="Titre5"/>
      </w:pPr>
      <w:r>
        <w:t>Les jours suivants</w:t>
      </w:r>
    </w:p>
    <w:p>
      <w:pPr>
        <w:pStyle w:val="Sansinterligne"/>
        <w:keepNext/>
        <w:rPr>
          <w:rFonts w:ascii="DIN Pro Regular" w:hAnsi="DIN Pro Regular" w:cs="DIN Pro Regular"/>
        </w:rPr>
      </w:pPr>
      <w:r>
        <w:rPr>
          <w:rFonts w:ascii="DIN Pro Regular" w:hAnsi="DIN Pro Regular" w:cs="DIN Pro Regular"/>
        </w:rPr>
        <w:t>Chaque jour de soins, nous vous prions de signaler votre arrivée et votre départ auprès de l’infirmière.</w:t>
      </w:r>
    </w:p>
    <w:p>
      <w:pPr>
        <w:pStyle w:val="Sansinterligne"/>
        <w:keepNext/>
        <w:rPr>
          <w:rFonts w:ascii="DIN Pro Regular" w:hAnsi="DIN Pro Regular" w:cs="DIN Pro Regular"/>
        </w:rPr>
      </w:pPr>
    </w:p>
    <w:p>
      <w:pPr>
        <w:pStyle w:val="Titre5"/>
      </w:pPr>
      <w:r>
        <w:t>Votre dernier jour d’hospitalisation :</w:t>
      </w:r>
    </w:p>
    <w:p>
      <w:pPr>
        <w:pStyle w:val="Sansinterligne"/>
        <w:keepNext/>
        <w:rPr>
          <w:rFonts w:ascii="DIN Pro Regular" w:hAnsi="DIN Pro Regular" w:cs="DIN Pro Regular"/>
        </w:rPr>
      </w:pPr>
      <w:r>
        <w:rPr>
          <w:rFonts w:ascii="DIN Pro Regular" w:hAnsi="DIN Pro Regular" w:cs="DIN Pro Regular"/>
        </w:rPr>
        <w:t>Vous récupérez votre dossier de sortie auprès de l’infirmière.</w:t>
      </w:r>
    </w:p>
    <w:p>
      <w:pPr>
        <w:pStyle w:val="Sansinterligne"/>
        <w:keepNext/>
        <w:rPr>
          <w:rFonts w:ascii="DIN Pro Regular" w:hAnsi="DIN Pro Regular" w:cs="DIN Pro Regular"/>
        </w:rPr>
      </w:pPr>
      <w:r>
        <w:rPr>
          <w:rFonts w:ascii="DIN Pro Regular" w:hAnsi="DIN Pro Regular" w:cs="DIN Pro Regular"/>
        </w:rPr>
        <w:t>Vous devez ensuite vous présenter au bureau des sorties pour clôturer votre dossier d’hospitalisation. Le questionnaire de satisfaction vous est remis à cette occasion.</w:t>
      </w:r>
    </w:p>
    <w:p>
      <w:pPr>
        <w:pStyle w:val="Sansinterligne"/>
        <w:keepNext/>
        <w:rPr>
          <w:rFonts w:ascii="DIN Pro Regular" w:hAnsi="DIN Pro Regular" w:cs="DIN Pro Regular"/>
        </w:rPr>
      </w:pPr>
    </w:p>
    <w:p>
      <w:pPr>
        <w:pStyle w:val="Titre5"/>
      </w:pPr>
      <w:r>
        <w:t>En cas d’urgence à l’hôpital de jour</w:t>
      </w:r>
    </w:p>
    <w:p>
      <w:pPr>
        <w:ind w:firstLine="0"/>
        <w:rPr>
          <w:rFonts w:ascii="DIN Pro Regular" w:hAnsi="DIN Pro Regular" w:cs="DIN Pro Regular"/>
          <w:sz w:val="20"/>
          <w:szCs w:val="20"/>
        </w:rPr>
      </w:pPr>
      <w:r>
        <w:rPr>
          <w:rFonts w:ascii="DIN Pro Regular" w:hAnsi="DIN Pro Regular" w:cs="DIN Pro Regular"/>
          <w:sz w:val="20"/>
          <w:szCs w:val="20"/>
        </w:rPr>
        <w:t>Un chariot d’urgence est disponible à l’hôpital de jour et toutes les chambres sont équipées en oxygène. L’infirmière coordinatrice et le médecin référent sont appelés. En cas de nécessité, une hospitalisation dans l’unité d’hospitalisation temps plein ou dans le service de médecine aigüe de l’Hôpital La Porte Verte est possible. Si votre état le nécessite, un transfert aux urgences ou dans votre service d’origine en application de conventions signées est possible.</w:t>
      </w:r>
    </w:p>
    <w:p>
      <w:pPr>
        <w:ind w:firstLine="0"/>
        <w:rPr>
          <w:rFonts w:ascii="DIN Pro Regular" w:hAnsi="DIN Pro Regular" w:cs="DIN Pro Regular"/>
          <w:sz w:val="20"/>
          <w:szCs w:val="20"/>
        </w:rPr>
      </w:pPr>
    </w:p>
    <w:p>
      <w:pPr>
        <w:pStyle w:val="Titre5"/>
      </w:pPr>
      <w:r>
        <w:t xml:space="preserve">Vos affaires personnelles </w:t>
      </w:r>
    </w:p>
    <w:p>
      <w:pPr>
        <w:ind w:firstLine="0"/>
        <w:rPr>
          <w:rFonts w:ascii="DIN Pro Regular" w:hAnsi="DIN Pro Regular" w:cs="DIN Pro Regular"/>
          <w:sz w:val="20"/>
          <w:szCs w:val="20"/>
        </w:rPr>
      </w:pPr>
      <w:r>
        <w:rPr>
          <w:rFonts w:ascii="DIN Pro Regular" w:hAnsi="DIN Pro Regular" w:cs="DIN Pro Regular"/>
          <w:sz w:val="20"/>
          <w:szCs w:val="20"/>
        </w:rPr>
        <w:t>Elles restent sous votre responsabilité. Vous disposez d’un placard fermant à clé dans la salle d’accueil de l’hôpital de jour. Nous vous déconseillons de conserver sur vous des objets de valeur.</w:t>
      </w:r>
    </w:p>
    <w:p>
      <w:pPr>
        <w:ind w:firstLine="0"/>
        <w:rPr>
          <w:rFonts w:ascii="DIN Pro Regular" w:hAnsi="DIN Pro Regular" w:cs="DIN Pro Regular"/>
          <w:sz w:val="20"/>
          <w:szCs w:val="20"/>
        </w:rPr>
      </w:pPr>
      <w:r>
        <w:rPr>
          <w:rFonts w:ascii="DIN Pro Regular" w:hAnsi="DIN Pro Regular" w:cs="DIN Pro Regular"/>
          <w:sz w:val="20"/>
          <w:szCs w:val="20"/>
        </w:rPr>
        <w:lastRenderedPageBreak/>
        <w:t>Nous vous invitons à vous munir de vêtements dans lesquels vous vous sentez à l’aise pour les séances de réadaptation.</w:t>
      </w:r>
    </w:p>
    <w:p>
      <w:pPr>
        <w:ind w:firstLine="0"/>
        <w:rPr>
          <w:rFonts w:ascii="DIN Pro Regular" w:hAnsi="DIN Pro Regular" w:cs="DIN Pro Regular"/>
          <w:sz w:val="20"/>
          <w:szCs w:val="20"/>
        </w:rPr>
      </w:pPr>
    </w:p>
    <w:p>
      <w:pPr>
        <w:pStyle w:val="Titre5"/>
      </w:pPr>
      <w:r>
        <w:t>Si vous ne pouvez pas vous rendre à l’un des rendez-vous fixés :</w:t>
      </w:r>
    </w:p>
    <w:p>
      <w:pPr>
        <w:ind w:firstLine="0"/>
        <w:rPr>
          <w:rFonts w:ascii="DIN Pro Regular" w:hAnsi="DIN Pro Regular" w:cs="DIN Pro Regular"/>
          <w:sz w:val="20"/>
          <w:szCs w:val="20"/>
        </w:rPr>
      </w:pPr>
      <w:r>
        <w:rPr>
          <w:rFonts w:ascii="DIN Pro Regular" w:hAnsi="DIN Pro Regular" w:cs="DIN Pro Regular"/>
          <w:sz w:val="20"/>
          <w:szCs w:val="20"/>
        </w:rPr>
        <w:t>Nous vous demandons de bien vouloir prévenir le secrétariat au numéro suivant :</w:t>
      </w:r>
    </w:p>
    <w:p>
      <w:pPr>
        <w:ind w:right="-428" w:firstLine="3"/>
        <w:jc w:val="center"/>
        <w:rPr>
          <w:rFonts w:ascii="DIN Pro Bold" w:hAnsi="DIN Pro Bold" w:cs="DIN Pro Bold"/>
          <w:b/>
        </w:rPr>
      </w:pPr>
      <w:r>
        <w:rPr>
          <w:rFonts w:ascii="DIN Pro Bold" w:hAnsi="DIN Pro Bold" w:cs="DIN Pro Bold"/>
          <w:b/>
        </w:rPr>
        <w:t>Tél. : 01 39 63 74 30</w:t>
      </w:r>
    </w:p>
    <w:p>
      <w:pPr>
        <w:ind w:firstLine="0"/>
        <w:rPr>
          <w:rFonts w:ascii="DIN Pro Regular" w:hAnsi="DIN Pro Regular" w:cs="DIN Pro Regular"/>
          <w:sz w:val="20"/>
          <w:szCs w:val="20"/>
        </w:rPr>
      </w:pPr>
    </w:p>
    <w:p>
      <w:pPr>
        <w:pStyle w:val="Titre1"/>
      </w:pPr>
      <w:r>
        <w:t>Qui sont vos interlocuteurs ?</w:t>
      </w:r>
    </w:p>
    <w:p>
      <w:pPr>
        <w:pStyle w:val="Sansinterligne"/>
        <w:keepNext/>
        <w:rPr>
          <w:rFonts w:ascii="DIN Pro Regular" w:hAnsi="DIN Pro Regular" w:cs="DIN Pro Regular"/>
        </w:rPr>
      </w:pPr>
      <w:r>
        <w:rPr>
          <w:rFonts w:ascii="DIN Pro Regular" w:hAnsi="DIN Pro Regular" w:cs="DIN Pro Regular"/>
        </w:rPr>
        <w:t>Le nombre et la formation des personnels médicaux et des auxiliaires médicaux sont adaptés aux besoins de santé des patients pris en charge à l’hôpital de jour, à la nature et au volume d’activités effectuées et aux caractéristiques techniques des soins dispensés. L’ensemble de nos professionnels sont formés à la prise en charge gériatrique.</w:t>
      </w:r>
    </w:p>
    <w:p>
      <w:pPr>
        <w:pStyle w:val="Sansinterligne"/>
        <w:keepNext/>
        <w:rPr>
          <w:rFonts w:ascii="DIN Pro Regular" w:hAnsi="DIN Pro Regular" w:cs="DIN Pro Regular"/>
        </w:rPr>
      </w:pPr>
    </w:p>
    <w:p>
      <w:pPr>
        <w:pStyle w:val="Titre5"/>
      </w:pPr>
      <w:r>
        <w:t>Le médecin coordonnateur</w:t>
      </w:r>
    </w:p>
    <w:p>
      <w:pPr>
        <w:pStyle w:val="Sansinterligne"/>
        <w:keepNext/>
        <w:rPr>
          <w:rFonts w:ascii="DIN Pro Regular" w:hAnsi="DIN Pro Regular" w:cs="DIN Pro Regular"/>
        </w:rPr>
      </w:pPr>
      <w:r>
        <w:rPr>
          <w:rFonts w:ascii="DIN Pro Regular" w:hAnsi="DIN Pro Regular" w:cs="DIN Pro Regular"/>
        </w:rPr>
        <w:t xml:space="preserve">Le médecin coordonnateur de l’hôpital de jour est le Docteur </w:t>
      </w:r>
      <w:proofErr w:type="spellStart"/>
      <w:r>
        <w:rPr>
          <w:rFonts w:ascii="DIN Pro Regular" w:hAnsi="DIN Pro Regular" w:cs="DIN Pro Regular"/>
        </w:rPr>
        <w:t>Donabedian</w:t>
      </w:r>
      <w:proofErr w:type="spellEnd"/>
      <w:r>
        <w:rPr>
          <w:rFonts w:ascii="DIN Pro Regular" w:hAnsi="DIN Pro Regular" w:cs="DIN Pro Regular"/>
        </w:rPr>
        <w:t xml:space="preserve">, gériatre. </w:t>
      </w:r>
    </w:p>
    <w:p>
      <w:pPr>
        <w:pStyle w:val="Sansinterligne"/>
        <w:keepNext/>
        <w:rPr>
          <w:rFonts w:ascii="DIN Pro Regular" w:hAnsi="DIN Pro Regular" w:cs="DIN Pro Regular"/>
        </w:rPr>
      </w:pPr>
    </w:p>
    <w:p>
      <w:pPr>
        <w:pStyle w:val="Sansinterligne"/>
        <w:keepNext/>
        <w:rPr>
          <w:rFonts w:ascii="DIN Pro Regular" w:hAnsi="DIN Pro Regular" w:cs="DIN Pro Regular"/>
        </w:rPr>
      </w:pPr>
      <w:r>
        <w:rPr>
          <w:rFonts w:ascii="DIN Pro Regular" w:hAnsi="DIN Pro Regular" w:cs="DIN Pro Regular"/>
        </w:rPr>
        <w:t>Il participe à l’organisation générale du fonctionnement médical de l’hôpital de jour et à celle des plannings de présence des professionnels médicaux et paramédicaux du service. Il veille à l’adéquation et à la permanence des prestations fournies aux besoins des patients et à la bonne transmission des dossiers médicaux et de soins nécessaires à la continuité des soins. Il participe à l’élaboration des indicateurs de suivi de l’activité et de la qualité des soins de l’hôpital de jour. Il fait le lien avec les médecins prescripteurs.</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 xml:space="preserve">En cas d’absence, il est suppléé par un médecin gériatre du service d’hospitalisation complète. </w:t>
      </w:r>
    </w:p>
    <w:p>
      <w:pPr>
        <w:pStyle w:val="Sansinterligne"/>
        <w:rPr>
          <w:rFonts w:ascii="DIN Pro Regular" w:hAnsi="DIN Pro Regular" w:cs="DIN Pro Regular"/>
        </w:rPr>
      </w:pPr>
      <w:r>
        <w:rPr>
          <w:rFonts w:ascii="DIN Pro Regular" w:hAnsi="DIN Pro Regular" w:cs="DIN Pro Regular"/>
        </w:rPr>
        <w:t>Le médecin coordonnateur est joignable durant l’amplitude d’ouverture de l’hôpital de jour.</w:t>
      </w:r>
    </w:p>
    <w:p>
      <w:pPr>
        <w:pStyle w:val="Sansinterligne"/>
        <w:rPr>
          <w:rFonts w:ascii="DIN Pro Regular" w:hAnsi="DIN Pro Regular" w:cs="DIN Pro Regular"/>
        </w:rPr>
      </w:pPr>
    </w:p>
    <w:p>
      <w:pPr>
        <w:pStyle w:val="Titre5"/>
      </w:pPr>
      <w:r>
        <w:t xml:space="preserve">L’équipe médicale </w:t>
      </w:r>
    </w:p>
    <w:p>
      <w:pPr>
        <w:pStyle w:val="Sansinterligne"/>
        <w:keepNext/>
        <w:rPr>
          <w:rFonts w:ascii="DIN Pro Regular" w:hAnsi="DIN Pro Regular" w:cs="DIN Pro Regular"/>
        </w:rPr>
      </w:pPr>
      <w:r>
        <w:rPr>
          <w:rFonts w:ascii="DIN Pro Regular" w:hAnsi="DIN Pro Regular" w:cs="DIN Pro Regular"/>
        </w:rPr>
        <w:t>Une présence médicale minimale d’un médecin qualifié diplômé en gériatrie est assurée pendant la durée de la prise en charge.</w:t>
      </w:r>
    </w:p>
    <w:p>
      <w:pPr>
        <w:pStyle w:val="Sansinterligne"/>
        <w:keepNext/>
        <w:rPr>
          <w:rFonts w:ascii="DIN Pro Regular" w:hAnsi="DIN Pro Regular" w:cs="DIN Pro Regular"/>
        </w:rPr>
      </w:pPr>
    </w:p>
    <w:p>
      <w:pPr>
        <w:pStyle w:val="Sansinterligne"/>
        <w:keepNext/>
        <w:rPr>
          <w:rFonts w:ascii="DIN Pro Regular" w:hAnsi="DIN Pro Regular" w:cs="DIN Pro Regular"/>
        </w:rPr>
      </w:pPr>
      <w:r>
        <w:rPr>
          <w:rFonts w:ascii="DIN Pro Regular" w:hAnsi="DIN Pro Regular" w:cs="DIN Pro Regular"/>
        </w:rPr>
        <w:t>Les consultations médicales ont lieu uniquement sur rendez-vous et sont planifiés dès votre premier jour.</w:t>
      </w:r>
    </w:p>
    <w:p>
      <w:pPr>
        <w:pStyle w:val="Sansinterligne"/>
        <w:keepNext/>
        <w:rPr>
          <w:rFonts w:ascii="DIN Pro Regular" w:hAnsi="DIN Pro Regular" w:cs="DIN Pro Regular"/>
        </w:rPr>
      </w:pPr>
    </w:p>
    <w:p>
      <w:pPr>
        <w:pStyle w:val="Titre5"/>
      </w:pPr>
      <w:r>
        <w:t>Les professionnels soignants</w:t>
      </w:r>
    </w:p>
    <w:p>
      <w:pPr>
        <w:pStyle w:val="Sansinterligne"/>
        <w:keepNext/>
        <w:rPr>
          <w:rFonts w:ascii="DIN Pro Regular" w:hAnsi="DIN Pro Regular" w:cs="DIN Pro Regular"/>
        </w:rPr>
      </w:pPr>
      <w:r>
        <w:rPr>
          <w:rFonts w:ascii="DIN Pro Regular" w:hAnsi="DIN Pro Regular" w:cs="DIN Pro Regular"/>
        </w:rPr>
        <w:t xml:space="preserve">Une infirmière diplômée d’Etat est dédiée à l’hôpital de jour pendant ses heures d’ouverture. </w:t>
      </w:r>
    </w:p>
    <w:p>
      <w:pPr>
        <w:pStyle w:val="Sansinterligne"/>
        <w:keepNext/>
        <w:rPr>
          <w:rFonts w:ascii="DIN Pro Regular" w:hAnsi="DIN Pro Regular" w:cs="DIN Pro Regular"/>
        </w:rPr>
      </w:pPr>
      <w:r>
        <w:rPr>
          <w:rFonts w:ascii="DIN Pro Regular" w:hAnsi="DIN Pro Regular" w:cs="DIN Pro Regular"/>
        </w:rPr>
        <w:t xml:space="preserve">Elle veille au bon déroulement de votre prise en charge, en lien avec le secrétariat médical, le médecin coordonnateur et les rééducateurs. </w:t>
      </w:r>
    </w:p>
    <w:p>
      <w:pPr>
        <w:pStyle w:val="Sansinterligne"/>
        <w:keepNext/>
        <w:rPr>
          <w:rFonts w:ascii="DIN Pro Regular" w:hAnsi="DIN Pro Regular" w:cs="DIN Pro Regular"/>
        </w:rPr>
      </w:pPr>
    </w:p>
    <w:p>
      <w:pPr>
        <w:pStyle w:val="Titre5"/>
      </w:pPr>
      <w:r>
        <w:t>Les autres professionnels</w:t>
      </w:r>
    </w:p>
    <w:p>
      <w:pPr>
        <w:pStyle w:val="Sansinterligne"/>
        <w:keepNext/>
        <w:rPr>
          <w:rFonts w:ascii="DIN Pro Regular" w:hAnsi="DIN Pro Regular" w:cs="DIN Pro Regular"/>
        </w:rPr>
      </w:pPr>
      <w:r>
        <w:rPr>
          <w:rFonts w:ascii="DIN Pro Regular" w:hAnsi="DIN Pro Regular" w:cs="DIN Pro Regular"/>
        </w:rPr>
        <w:t>L’équipe est également composée de neuropsychologues, psychomotriciens, diététiciens, ergothérapeutes, enseignants en APA, orthophonistes, relaxologue, kinésithérapeutes et secrétaires.</w:t>
      </w:r>
    </w:p>
    <w:p>
      <w:pPr>
        <w:pStyle w:val="Sansinterligne"/>
        <w:keepNext/>
        <w:rPr>
          <w:rFonts w:ascii="DIN Pro Regular" w:hAnsi="DIN Pro Regular" w:cs="DIN Pro Regular"/>
        </w:rPr>
      </w:pPr>
      <w:r>
        <w:rPr>
          <w:rFonts w:ascii="DIN Pro Regular" w:hAnsi="DIN Pro Regular" w:cs="DIN Pro Regular"/>
        </w:rPr>
        <w:t>Le service social de l’Hôpital est également disponible pour les patients de l’Hôpital de jour.</w:t>
      </w:r>
    </w:p>
    <w:p>
      <w:pPr>
        <w:pStyle w:val="Sansinterligne"/>
        <w:keepNext/>
        <w:rPr>
          <w:rFonts w:ascii="DIN Pro Regular" w:hAnsi="DIN Pro Regular" w:cs="DIN Pro Regular"/>
        </w:rPr>
      </w:pPr>
    </w:p>
    <w:p>
      <w:pPr>
        <w:pStyle w:val="Titre1"/>
      </w:pPr>
      <w:r>
        <w:t>Entre les journées d’hospitalisation : la continuité des soins</w:t>
      </w:r>
    </w:p>
    <w:p>
      <w:pPr>
        <w:pStyle w:val="Sansinterligne"/>
        <w:keepNext/>
        <w:rPr>
          <w:rFonts w:ascii="DIN Pro Regular" w:hAnsi="DIN Pro Regular" w:cs="DIN Pro Regular"/>
        </w:rPr>
      </w:pPr>
      <w:r>
        <w:rPr>
          <w:rFonts w:ascii="DIN Pro Regular" w:hAnsi="DIN Pro Regular" w:cs="DIN Pro Regular"/>
        </w:rPr>
        <w:t>Seuls les problèmes médicaux en lien avec votre hospitalisation de jour peuvent être traités par l’Hôpital La Porte Verte. Tous les autres problèmes médicaux doivent être pris en charge par votre médecin traitant. Celui-ci peut, en cas de besoin, joindre le médecin coordonnateur de l’hôpital de jour.</w:t>
      </w:r>
    </w:p>
    <w:p>
      <w:pPr>
        <w:ind w:right="-428" w:firstLine="3"/>
        <w:jc w:val="both"/>
        <w:rPr>
          <w:rFonts w:asciiTheme="minorHAnsi" w:hAnsiTheme="minorHAnsi" w:cstheme="minorHAnsi"/>
          <w:sz w:val="20"/>
          <w:szCs w:val="20"/>
        </w:rPr>
      </w:pPr>
    </w:p>
    <w:p>
      <w:pPr>
        <w:ind w:right="-428" w:firstLine="3"/>
        <w:rPr>
          <w:rFonts w:ascii="DIN Pro Bold" w:hAnsi="DIN Pro Bold" w:cs="DIN Pro Bold"/>
          <w:sz w:val="20"/>
          <w:szCs w:val="20"/>
        </w:rPr>
      </w:pPr>
      <w:r>
        <w:rPr>
          <w:rFonts w:ascii="DIN Pro Bold" w:hAnsi="DIN Pro Bold" w:cs="DIN Pro Bold"/>
          <w:sz w:val="20"/>
          <w:szCs w:val="20"/>
        </w:rPr>
        <w:t>Du lundi au vendredi, vous pouvez joindre le secrétariat médical ou l’infirmière de l’hôpital de jour au :</w:t>
      </w:r>
    </w:p>
    <w:p>
      <w:pPr>
        <w:ind w:left="1416" w:right="-428" w:firstLine="0"/>
        <w:rPr>
          <w:rFonts w:asciiTheme="minorHAnsi" w:hAnsiTheme="minorHAnsi" w:cstheme="minorHAnsi"/>
          <w:b/>
          <w:sz w:val="20"/>
          <w:szCs w:val="20"/>
        </w:rPr>
      </w:pPr>
    </w:p>
    <w:p>
      <w:pPr>
        <w:ind w:right="-428" w:firstLine="0"/>
        <w:jc w:val="center"/>
        <w:rPr>
          <w:rFonts w:ascii="DIN Pro Bold" w:hAnsi="DIN Pro Bold" w:cs="DIN Pro Bold"/>
          <w:sz w:val="20"/>
          <w:szCs w:val="20"/>
        </w:rPr>
      </w:pPr>
      <w:r>
        <w:rPr>
          <w:rFonts w:ascii="DIN Pro Bold" w:hAnsi="DIN Pro Bold" w:cs="DIN Pro Bold"/>
          <w:sz w:val="20"/>
          <w:szCs w:val="20"/>
        </w:rPr>
        <w:t>Tél. : 01 39 63 74 30</w:t>
      </w:r>
    </w:p>
    <w:p>
      <w:pPr>
        <w:ind w:right="-428" w:firstLine="0"/>
        <w:jc w:val="center"/>
        <w:rPr>
          <w:rFonts w:ascii="DIN Pro Regular" w:hAnsi="DIN Pro Regular" w:cs="DIN Pro Regular"/>
          <w:sz w:val="20"/>
          <w:szCs w:val="20"/>
        </w:rPr>
      </w:pPr>
      <w:r>
        <w:rPr>
          <w:rFonts w:ascii="DIN Pro Regular" w:hAnsi="DIN Pro Regular" w:cs="DIN Pro Regular"/>
          <w:sz w:val="20"/>
          <w:szCs w:val="20"/>
        </w:rPr>
        <w:t>(</w:t>
      </w:r>
      <w:proofErr w:type="gramStart"/>
      <w:r>
        <w:rPr>
          <w:rFonts w:ascii="DIN Pro Regular" w:hAnsi="DIN Pro Regular" w:cs="DIN Pro Regular"/>
          <w:sz w:val="20"/>
          <w:szCs w:val="20"/>
        </w:rPr>
        <w:t>secrétariat</w:t>
      </w:r>
      <w:proofErr w:type="gramEnd"/>
      <w:r>
        <w:rPr>
          <w:rFonts w:ascii="DIN Pro Regular" w:hAnsi="DIN Pro Regular" w:cs="DIN Pro Regular"/>
          <w:sz w:val="20"/>
          <w:szCs w:val="20"/>
        </w:rPr>
        <w:t xml:space="preserve"> entre 9h à 17h)</w:t>
      </w:r>
    </w:p>
    <w:p>
      <w:pPr>
        <w:ind w:right="-428" w:firstLine="3"/>
        <w:jc w:val="center"/>
        <w:rPr>
          <w:rFonts w:asciiTheme="minorHAnsi" w:hAnsiTheme="minorHAnsi" w:cstheme="minorHAnsi"/>
          <w:b/>
          <w:sz w:val="20"/>
          <w:szCs w:val="20"/>
          <w:highlight w:val="yellow"/>
        </w:rPr>
      </w:pPr>
    </w:p>
    <w:p>
      <w:pPr>
        <w:ind w:right="-428" w:firstLine="0"/>
        <w:jc w:val="center"/>
        <w:rPr>
          <w:rFonts w:ascii="DIN Pro Bold" w:hAnsi="DIN Pro Bold" w:cs="DIN Pro Bold"/>
          <w:sz w:val="20"/>
          <w:szCs w:val="20"/>
        </w:rPr>
      </w:pPr>
      <w:r>
        <w:rPr>
          <w:rFonts w:ascii="DIN Pro Bold" w:hAnsi="DIN Pro Bold" w:cs="DIN Pro Bold"/>
          <w:sz w:val="20"/>
          <w:szCs w:val="20"/>
        </w:rPr>
        <w:t>Tél. : 01 39 63 79 13</w:t>
      </w:r>
    </w:p>
    <w:p>
      <w:pPr>
        <w:ind w:right="-428" w:firstLine="0"/>
        <w:jc w:val="center"/>
        <w:rPr>
          <w:rFonts w:ascii="DIN Pro Regular" w:hAnsi="DIN Pro Regular" w:cs="DIN Pro Regular"/>
          <w:sz w:val="20"/>
          <w:szCs w:val="20"/>
        </w:rPr>
      </w:pPr>
      <w:r>
        <w:rPr>
          <w:rFonts w:ascii="DIN Pro Regular" w:hAnsi="DIN Pro Regular" w:cs="DIN Pro Regular"/>
          <w:sz w:val="20"/>
          <w:szCs w:val="20"/>
        </w:rPr>
        <w:t>(poste soignant entre 8h30 à 17h).</w:t>
      </w:r>
    </w:p>
    <w:p>
      <w:pPr>
        <w:ind w:right="-428" w:firstLine="0"/>
        <w:jc w:val="both"/>
        <w:rPr>
          <w:rFonts w:asciiTheme="minorHAnsi" w:hAnsiTheme="minorHAnsi" w:cstheme="minorHAnsi"/>
          <w:sz w:val="20"/>
          <w:szCs w:val="20"/>
        </w:rPr>
      </w:pPr>
    </w:p>
    <w:p>
      <w:pPr>
        <w:ind w:right="-428" w:firstLine="0"/>
        <w:rPr>
          <w:rFonts w:asciiTheme="minorHAnsi" w:hAnsiTheme="minorHAnsi" w:cstheme="minorHAnsi"/>
          <w:b/>
          <w:sz w:val="20"/>
          <w:szCs w:val="20"/>
        </w:rPr>
      </w:pPr>
      <w:r>
        <w:rPr>
          <w:rFonts w:ascii="DIN Pro Bold" w:hAnsi="DIN Pro Bold" w:cs="DIN Pro Bold"/>
          <w:b/>
          <w:sz w:val="20"/>
          <w:szCs w:val="20"/>
        </w:rPr>
        <w:t>En cas de nécessité, en dehors des horaires d’ouverture de l’hôpital de jour et les samedi, dimanche et jours fériés</w:t>
      </w:r>
      <w:r>
        <w:rPr>
          <w:rFonts w:ascii="DIN Pro Regular" w:hAnsi="DIN Pro Regular" w:cs="DIN Pro Regular"/>
          <w:sz w:val="20"/>
          <w:szCs w:val="20"/>
        </w:rPr>
        <w:t>, vous pouvez contacter le cadre de garde en passant par le standard :</w:t>
      </w:r>
    </w:p>
    <w:p>
      <w:pPr>
        <w:ind w:right="-428" w:firstLine="0"/>
        <w:jc w:val="center"/>
        <w:rPr>
          <w:rFonts w:ascii="DIN Pro Bold" w:hAnsi="DIN Pro Bold" w:cs="DIN Pro Bold"/>
          <w:b/>
          <w:sz w:val="20"/>
          <w:szCs w:val="20"/>
        </w:rPr>
      </w:pPr>
      <w:r>
        <w:rPr>
          <w:rFonts w:ascii="DIN Pro Bold" w:hAnsi="DIN Pro Bold" w:cs="DIN Pro Bold"/>
          <w:b/>
          <w:sz w:val="20"/>
          <w:szCs w:val="20"/>
        </w:rPr>
        <w:t>Tél. : 01 39 63 74 00</w:t>
      </w:r>
    </w:p>
    <w:p>
      <w:pPr>
        <w:ind w:right="-428" w:firstLine="0"/>
        <w:jc w:val="both"/>
        <w:rPr>
          <w:rFonts w:ascii="DIN Pro Regular" w:hAnsi="DIN Pro Regular" w:cs="DIN Pro Regular"/>
          <w:sz w:val="20"/>
          <w:szCs w:val="20"/>
        </w:rPr>
      </w:pPr>
    </w:p>
    <w:p>
      <w:pPr>
        <w:ind w:right="-428" w:firstLine="0"/>
        <w:rPr>
          <w:rFonts w:ascii="DIN Pro Regular" w:hAnsi="DIN Pro Regular" w:cs="DIN Pro Regular"/>
          <w:sz w:val="20"/>
          <w:szCs w:val="20"/>
        </w:rPr>
      </w:pPr>
      <w:r>
        <w:rPr>
          <w:rFonts w:ascii="DIN Pro Regular" w:hAnsi="DIN Pro Regular" w:cs="DIN Pro Regular"/>
          <w:sz w:val="20"/>
          <w:szCs w:val="20"/>
        </w:rPr>
        <w:t xml:space="preserve">Le soignant peut à tout moment joindre le médecin de garde présent sur le site de l’Hôpital La Porte Verte 24 heures sur 24 et 7 jours sur 7 ou le masseur-kinésithérapeute de garde le samedi et jours fériés et d’astreinte les dimanches. </w:t>
      </w:r>
    </w:p>
    <w:p>
      <w:pPr>
        <w:pStyle w:val="Titre5"/>
      </w:pPr>
      <w:r>
        <w:t>En cas d’urgence</w:t>
      </w:r>
    </w:p>
    <w:p>
      <w:pPr>
        <w:ind w:right="-428" w:firstLine="0"/>
        <w:rPr>
          <w:rFonts w:ascii="DIN Pro Regular" w:hAnsi="DIN Pro Regular" w:cs="DIN Pro Regular"/>
          <w:sz w:val="20"/>
          <w:szCs w:val="20"/>
        </w:rPr>
      </w:pPr>
      <w:r>
        <w:rPr>
          <w:rFonts w:ascii="DIN Pro Regular" w:hAnsi="DIN Pro Regular" w:cs="DIN Pro Regular"/>
          <w:sz w:val="20"/>
          <w:szCs w:val="20"/>
        </w:rPr>
        <w:t xml:space="preserve">Vous pouvez contacter l’Hôpital de jour pendant ses heures d’ouverture, appeler votre médecin traitant ou un service d’urgences de proximité, qui contactera le médecin </w:t>
      </w:r>
      <w:r>
        <w:rPr>
          <w:rFonts w:ascii="DIN Pro Regular" w:hAnsi="DIN Pro Regular" w:cs="DIN Pro Regular"/>
          <w:sz w:val="20"/>
          <w:szCs w:val="20"/>
        </w:rPr>
        <w:lastRenderedPageBreak/>
        <w:t>de garde de l’Hôpital La Porte Verte présent 24 heures sur 24.</w:t>
      </w:r>
    </w:p>
    <w:p>
      <w:pPr>
        <w:ind w:right="-428" w:firstLine="0"/>
        <w:jc w:val="both"/>
        <w:rPr>
          <w:rFonts w:asciiTheme="minorHAnsi" w:hAnsiTheme="minorHAnsi" w:cstheme="minorHAnsi"/>
          <w:sz w:val="20"/>
          <w:szCs w:val="20"/>
        </w:rPr>
      </w:pPr>
    </w:p>
    <w:p>
      <w:pPr>
        <w:pStyle w:val="Sansinterligne"/>
        <w:keepNext/>
        <w:rPr>
          <w:rFonts w:ascii="DIN Pro Regular" w:hAnsi="DIN Pro Regular" w:cs="DIN Pro Regular"/>
        </w:rPr>
      </w:pPr>
      <w:r>
        <w:rPr>
          <w:rFonts w:ascii="DIN Pro Regular" w:hAnsi="DIN Pro Regular" w:cs="DIN Pro Regular"/>
        </w:rPr>
        <w:t xml:space="preserve">Les dossiers médicaux sont informatisés et peuvent être consultés à tout moment par l’ensemble du personnel soignant et médical. </w:t>
      </w:r>
    </w:p>
    <w:p>
      <w:pPr>
        <w:pStyle w:val="Sansinterligne"/>
        <w:keepNext/>
        <w:rPr>
          <w:rFonts w:ascii="DIN Pro Regular" w:hAnsi="DIN Pro Regular" w:cs="DIN Pro Regular"/>
        </w:rPr>
      </w:pPr>
    </w:p>
    <w:p>
      <w:pPr>
        <w:pStyle w:val="Titre1"/>
      </w:pPr>
      <w:r>
        <w:t>La sortie d’hospitalisation, et après ?</w:t>
      </w:r>
    </w:p>
    <w:p>
      <w:pPr>
        <w:pStyle w:val="Titre5"/>
      </w:pPr>
      <w:r>
        <w:t>Modalités de sortie, votre dossier de sortie</w:t>
      </w:r>
    </w:p>
    <w:p>
      <w:pPr>
        <w:pStyle w:val="Sansinterligne"/>
        <w:keepNext/>
        <w:rPr>
          <w:rFonts w:ascii="DIN Pro Regular" w:hAnsi="DIN Pro Regular" w:cs="DIN Pro Regular"/>
        </w:rPr>
      </w:pPr>
      <w:r>
        <w:rPr>
          <w:rFonts w:ascii="DIN Pro Regular" w:hAnsi="DIN Pro Regular" w:cs="DIN Pro Regular"/>
        </w:rPr>
        <w:t>Le médecin gériatre rédige systématiquement un compte-rendu, appelé lettre de liaison, qui vous est remis à la fin de votre hospitalisation de jour, ainsi qu’un dossier comprenant vos ordonnances de traitement ou de réadaptation. Cette lettre de liaison est transmise au médecin prescripteur et à votre médecin traitant. Elle comporte les coordonnées des personnels de l’établissement assurant la continuité des soins ainsi que les recommandations sur la prise en charge de la douleur.</w:t>
      </w:r>
    </w:p>
    <w:p>
      <w:pPr>
        <w:pStyle w:val="Sansinterligne"/>
        <w:keepNext/>
        <w:rPr>
          <w:rFonts w:ascii="DIN Pro Regular" w:hAnsi="DIN Pro Regular" w:cs="DIN Pro Regular"/>
        </w:rPr>
      </w:pPr>
    </w:p>
    <w:p>
      <w:pPr>
        <w:pStyle w:val="Sansinterligne"/>
        <w:keepNext/>
        <w:rPr>
          <w:rFonts w:ascii="DIN Pro Regular" w:hAnsi="DIN Pro Regular" w:cs="DIN Pro Regular"/>
        </w:rPr>
      </w:pPr>
      <w:r>
        <w:rPr>
          <w:rFonts w:ascii="DIN Pro Regular" w:hAnsi="DIN Pro Regular" w:cs="DIN Pro Regular"/>
        </w:rPr>
        <w:t>Si votre état de santé le justifie, une consultation de suivi peut vous être proposée à distance de votre prise en charge en hôpital de jour.</w:t>
      </w:r>
    </w:p>
    <w:p>
      <w:pPr>
        <w:pStyle w:val="Sansinterligne"/>
        <w:keepNext/>
        <w:rPr>
          <w:rFonts w:ascii="DIN Pro Regular" w:hAnsi="DIN Pro Regular" w:cs="DIN Pro Regular"/>
        </w:rPr>
      </w:pPr>
    </w:p>
    <w:p>
      <w:pPr>
        <w:pStyle w:val="Titre5"/>
      </w:pPr>
      <w:r>
        <w:t>Comment accéder à votre dossier médical ?</w:t>
      </w:r>
    </w:p>
    <w:p>
      <w:pPr>
        <w:pStyle w:val="Sansinterligne"/>
        <w:jc w:val="both"/>
        <w:rPr>
          <w:rFonts w:asciiTheme="minorHAnsi" w:hAnsiTheme="minorHAnsi" w:cstheme="minorHAnsi"/>
        </w:rPr>
      </w:pPr>
    </w:p>
    <w:p>
      <w:pPr>
        <w:pStyle w:val="Sansinterligne"/>
        <w:jc w:val="both"/>
        <w:rPr>
          <w:rFonts w:asciiTheme="minorHAnsi" w:hAnsiTheme="minorHAnsi" w:cstheme="minorHAnsi"/>
        </w:rPr>
      </w:pPr>
      <w:r>
        <w:rPr>
          <w:rFonts w:asciiTheme="minorHAnsi" w:hAnsiTheme="minorHAnsi" w:cstheme="minorHAnsi"/>
        </w:rPr>
        <w:t xml:space="preserve">Vous pouvez obtenir communication de votre dossier médical par demande écrite à l’attention du Directeur de l’Hôpital La Porte Verte, accompagnée d’un justificatif de votre identité (ex : copie de votre carte d’identité). </w:t>
      </w:r>
    </w:p>
    <w:p>
      <w:pPr>
        <w:pStyle w:val="Sansinterligne"/>
        <w:keepNext/>
        <w:rPr>
          <w:rFonts w:ascii="DIN Pro Regular" w:hAnsi="DIN Pro Regular" w:cs="DIN Pro Regular"/>
        </w:rPr>
      </w:pPr>
    </w:p>
    <w:p>
      <w:pPr>
        <w:pStyle w:val="Sansinterligne"/>
        <w:keepNext/>
        <w:rPr>
          <w:rFonts w:ascii="DIN Pro Regular" w:hAnsi="DIN Pro Regular" w:cs="DIN Pro Regular"/>
        </w:rPr>
      </w:pPr>
    </w:p>
    <w:p>
      <w:pPr>
        <w:pStyle w:val="Titre1"/>
      </w:pPr>
      <w:r>
        <w:t>Vous souhaitez nous faire part de votre satisfaction, d’une réclamation, d’une plainte ?</w:t>
      </w:r>
    </w:p>
    <w:p>
      <w:pPr>
        <w:ind w:right="71" w:firstLine="0"/>
        <w:rPr>
          <w:rFonts w:ascii="DIN Pro Bold" w:hAnsi="DIN Pro Bold" w:cs="DIN Pro Bold"/>
          <w:sz w:val="20"/>
          <w:szCs w:val="20"/>
        </w:rPr>
      </w:pPr>
      <w:r>
        <w:rPr>
          <w:rFonts w:ascii="DIN Pro Bold" w:hAnsi="DIN Pro Bold" w:cs="DIN Pro Bold"/>
          <w:sz w:val="20"/>
          <w:szCs w:val="20"/>
        </w:rPr>
        <w:t>Questionnaire de satisfaction</w:t>
      </w:r>
    </w:p>
    <w:p>
      <w:pPr>
        <w:pStyle w:val="Sansinterligne"/>
        <w:keepNext/>
        <w:rPr>
          <w:rFonts w:ascii="DIN Pro Regular" w:hAnsi="DIN Pro Regular" w:cs="DIN Pro Regular"/>
        </w:rPr>
      </w:pPr>
      <w:r>
        <w:rPr>
          <w:rFonts w:ascii="DIN Pro Regular" w:hAnsi="DIN Pro Regular" w:cs="DIN Pro Regular"/>
        </w:rPr>
        <w:t>Il vous est remis lors de votre prise en charge. Nous vous invitons à le remplir et le transmettre à l’infirmière de l’Hôpital de jour ou à la déposer dans la boite dédiée disponible à l’accueil de l’Hôpital.</w:t>
      </w:r>
    </w:p>
    <w:p>
      <w:pPr>
        <w:ind w:right="71" w:firstLine="0"/>
        <w:rPr>
          <w:rFonts w:ascii="DIN Pro Regular" w:hAnsi="DIN Pro Regular" w:cs="DIN Pro Regular"/>
          <w:sz w:val="20"/>
          <w:szCs w:val="20"/>
        </w:rPr>
      </w:pPr>
    </w:p>
    <w:p>
      <w:pPr>
        <w:ind w:right="-428" w:firstLine="0"/>
        <w:jc w:val="both"/>
        <w:rPr>
          <w:rFonts w:ascii="DIN Pro Regular" w:hAnsi="DIN Pro Regular" w:cs="DIN Pro Regular"/>
          <w:sz w:val="20"/>
          <w:szCs w:val="20"/>
        </w:rPr>
      </w:pPr>
      <w:r>
        <w:rPr>
          <w:rFonts w:ascii="DIN Pro Regular" w:hAnsi="DIN Pro Regular" w:cs="DIN Pro Regular"/>
          <w:sz w:val="20"/>
          <w:szCs w:val="20"/>
        </w:rPr>
        <w:t>L’hôpital est attentif en permanence à l’amélioration continue des soins prodigués dans ses services et à l’évaluation de votre satisfaction. Elle a mis en place au niveau de l’hôpital de jour :</w:t>
      </w:r>
    </w:p>
    <w:p>
      <w:pPr>
        <w:numPr>
          <w:ilvl w:val="0"/>
          <w:numId w:val="6"/>
        </w:numPr>
        <w:ind w:right="71"/>
        <w:rPr>
          <w:rFonts w:ascii="DIN Pro Regular" w:hAnsi="DIN Pro Regular" w:cs="DIN Pro Regular"/>
          <w:sz w:val="20"/>
          <w:szCs w:val="20"/>
        </w:rPr>
      </w:pPr>
      <w:proofErr w:type="gramStart"/>
      <w:r>
        <w:rPr>
          <w:rFonts w:ascii="DIN Pro Regular" w:hAnsi="DIN Pro Regular" w:cs="DIN Pro Regular"/>
          <w:sz w:val="20"/>
          <w:szCs w:val="20"/>
        </w:rPr>
        <w:t>des</w:t>
      </w:r>
      <w:proofErr w:type="gramEnd"/>
      <w:r>
        <w:rPr>
          <w:rFonts w:ascii="DIN Pro Regular" w:hAnsi="DIN Pro Regular" w:cs="DIN Pro Regular"/>
          <w:sz w:val="20"/>
          <w:szCs w:val="20"/>
        </w:rPr>
        <w:t xml:space="preserve"> indicateurs de suivi d’activité : nombre de séjours, durée de séjour, typologie des séances</w:t>
      </w:r>
    </w:p>
    <w:p>
      <w:pPr>
        <w:numPr>
          <w:ilvl w:val="0"/>
          <w:numId w:val="6"/>
        </w:numPr>
        <w:ind w:right="71"/>
        <w:rPr>
          <w:rFonts w:ascii="DIN Pro Regular" w:hAnsi="DIN Pro Regular" w:cs="DIN Pro Regular"/>
          <w:sz w:val="20"/>
          <w:szCs w:val="20"/>
        </w:rPr>
      </w:pPr>
      <w:proofErr w:type="gramStart"/>
      <w:r>
        <w:rPr>
          <w:rFonts w:ascii="DIN Pro Regular" w:hAnsi="DIN Pro Regular" w:cs="DIN Pro Regular"/>
          <w:sz w:val="20"/>
          <w:szCs w:val="20"/>
        </w:rPr>
        <w:t>des</w:t>
      </w:r>
      <w:proofErr w:type="gramEnd"/>
      <w:r>
        <w:rPr>
          <w:rFonts w:ascii="DIN Pro Regular" w:hAnsi="DIN Pro Regular" w:cs="DIN Pro Regular"/>
          <w:sz w:val="20"/>
          <w:szCs w:val="20"/>
        </w:rPr>
        <w:t xml:space="preserve"> indicateurs de suivi de la qualité : tenue du dossier patient, délais d’envoi de la lettre de liaison, nombre de projets de soins et de vie, résultats du questionnaire de satisfaction patient, évaluation de la douleur.</w:t>
      </w:r>
    </w:p>
    <w:p>
      <w:pPr>
        <w:ind w:right="71" w:firstLine="0"/>
        <w:rPr>
          <w:rFonts w:asciiTheme="minorHAnsi" w:hAnsiTheme="minorHAnsi" w:cstheme="minorHAnsi"/>
          <w:sz w:val="20"/>
          <w:szCs w:val="20"/>
        </w:rPr>
      </w:pPr>
    </w:p>
    <w:p>
      <w:pPr>
        <w:ind w:right="71" w:firstLine="0"/>
        <w:rPr>
          <w:rFonts w:asciiTheme="minorHAnsi" w:hAnsiTheme="minorHAnsi" w:cstheme="minorHAnsi"/>
          <w:sz w:val="20"/>
          <w:szCs w:val="20"/>
        </w:rPr>
      </w:pPr>
      <w:r>
        <w:rPr>
          <w:rFonts w:ascii="DIN Pro Bold" w:hAnsi="DIN Pro Bold" w:cs="DIN Pro Bold"/>
          <w:sz w:val="20"/>
          <w:szCs w:val="20"/>
        </w:rPr>
        <w:t>En cas de difficulté dans le cadre de votre hospitalisation</w:t>
      </w:r>
      <w:r>
        <w:rPr>
          <w:rFonts w:asciiTheme="minorHAnsi" w:hAnsiTheme="minorHAnsi" w:cstheme="minorHAnsi"/>
          <w:sz w:val="20"/>
          <w:szCs w:val="20"/>
        </w:rPr>
        <w:t>,</w:t>
      </w:r>
      <w:r>
        <w:rPr>
          <w:rFonts w:ascii="DIN Pro Regular" w:hAnsi="DIN Pro Regular" w:cs="DIN Pro Regular"/>
          <w:sz w:val="20"/>
          <w:szCs w:val="20"/>
        </w:rPr>
        <w:t xml:space="preserve"> nous nous invitons à contacter au choix :</w:t>
      </w:r>
    </w:p>
    <w:p>
      <w:pPr>
        <w:pStyle w:val="Paragraphedeliste"/>
        <w:numPr>
          <w:ilvl w:val="0"/>
          <w:numId w:val="6"/>
        </w:numPr>
        <w:ind w:right="71" w:hanging="153"/>
        <w:rPr>
          <w:rFonts w:ascii="DIN Pro Regular" w:hAnsi="DIN Pro Regular" w:cs="DIN Pro Regular"/>
          <w:sz w:val="20"/>
          <w:szCs w:val="20"/>
        </w:rPr>
      </w:pPr>
      <w:r>
        <w:rPr>
          <w:rFonts w:ascii="DIN Pro Regular" w:hAnsi="DIN Pro Regular" w:cs="DIN Pro Regular"/>
          <w:sz w:val="20"/>
          <w:szCs w:val="20"/>
        </w:rPr>
        <w:t xml:space="preserve">Le directeur général : Mme Alexia </w:t>
      </w:r>
      <w:proofErr w:type="spellStart"/>
      <w:r>
        <w:rPr>
          <w:rFonts w:ascii="DIN Pro Regular" w:hAnsi="DIN Pro Regular" w:cs="DIN Pro Regular"/>
          <w:sz w:val="20"/>
          <w:szCs w:val="20"/>
        </w:rPr>
        <w:t>Dagail</w:t>
      </w:r>
      <w:proofErr w:type="spellEnd"/>
    </w:p>
    <w:p>
      <w:pPr>
        <w:pStyle w:val="Paragraphedeliste"/>
        <w:numPr>
          <w:ilvl w:val="0"/>
          <w:numId w:val="6"/>
        </w:numPr>
        <w:ind w:right="71" w:hanging="153"/>
        <w:rPr>
          <w:rFonts w:ascii="DIN Pro Regular" w:hAnsi="DIN Pro Regular" w:cs="DIN Pro Regular"/>
          <w:sz w:val="20"/>
          <w:szCs w:val="20"/>
        </w:rPr>
      </w:pPr>
      <w:r>
        <w:rPr>
          <w:rFonts w:ascii="DIN Pro Regular" w:hAnsi="DIN Pro Regular" w:cs="DIN Pro Regular"/>
          <w:sz w:val="20"/>
          <w:szCs w:val="20"/>
        </w:rPr>
        <w:t xml:space="preserve">Le directeur médical : Dr Marc </w:t>
      </w:r>
      <w:proofErr w:type="spellStart"/>
      <w:r>
        <w:rPr>
          <w:rFonts w:ascii="DIN Pro Regular" w:hAnsi="DIN Pro Regular" w:cs="DIN Pro Regular"/>
          <w:sz w:val="20"/>
          <w:szCs w:val="20"/>
        </w:rPr>
        <w:t>Harboun</w:t>
      </w:r>
      <w:proofErr w:type="spellEnd"/>
      <w:r>
        <w:rPr>
          <w:rFonts w:ascii="DIN Pro Regular" w:hAnsi="DIN Pro Regular" w:cs="DIN Pro Regular"/>
          <w:sz w:val="20"/>
          <w:szCs w:val="20"/>
        </w:rPr>
        <w:t>,</w:t>
      </w:r>
    </w:p>
    <w:p>
      <w:pPr>
        <w:pStyle w:val="Paragraphedeliste"/>
        <w:numPr>
          <w:ilvl w:val="0"/>
          <w:numId w:val="6"/>
        </w:numPr>
        <w:ind w:right="71" w:hanging="153"/>
        <w:rPr>
          <w:rFonts w:ascii="DIN Pro Regular" w:hAnsi="DIN Pro Regular" w:cs="DIN Pro Regular"/>
          <w:sz w:val="20"/>
          <w:szCs w:val="20"/>
        </w:rPr>
      </w:pPr>
      <w:r>
        <w:rPr>
          <w:rFonts w:ascii="DIN Pro Regular" w:hAnsi="DIN Pro Regular" w:cs="DIN Pro Regular"/>
          <w:sz w:val="20"/>
          <w:szCs w:val="20"/>
        </w:rPr>
        <w:t xml:space="preserve">Le responsable des relations avec les usagers : Mme Ariane </w:t>
      </w:r>
      <w:proofErr w:type="spellStart"/>
      <w:r>
        <w:rPr>
          <w:rFonts w:ascii="DIN Pro Regular" w:hAnsi="DIN Pro Regular" w:cs="DIN Pro Regular"/>
          <w:sz w:val="20"/>
          <w:szCs w:val="20"/>
        </w:rPr>
        <w:t>Assianme</w:t>
      </w:r>
      <w:proofErr w:type="spellEnd"/>
      <w:r>
        <w:rPr>
          <w:rFonts w:ascii="DIN Pro Regular" w:hAnsi="DIN Pro Regular" w:cs="DIN Pro Regular"/>
          <w:sz w:val="20"/>
          <w:szCs w:val="20"/>
        </w:rPr>
        <w:t xml:space="preserve">, </w:t>
      </w:r>
    </w:p>
    <w:p>
      <w:pPr>
        <w:pStyle w:val="Paragraphedeliste"/>
        <w:numPr>
          <w:ilvl w:val="0"/>
          <w:numId w:val="6"/>
        </w:numPr>
        <w:ind w:right="71" w:hanging="153"/>
        <w:rPr>
          <w:rFonts w:ascii="DIN Pro Regular" w:hAnsi="DIN Pro Regular" w:cs="DIN Pro Regular"/>
          <w:b/>
          <w:sz w:val="20"/>
          <w:szCs w:val="20"/>
        </w:rPr>
      </w:pPr>
      <w:r>
        <w:rPr>
          <w:rFonts w:ascii="DIN Pro Regular" w:hAnsi="DIN Pro Regular" w:cs="DIN Pro Regular"/>
          <w:sz w:val="20"/>
          <w:szCs w:val="20"/>
        </w:rPr>
        <w:t xml:space="preserve">Les représentants d’usagers par mail </w:t>
      </w:r>
      <w:hyperlink r:id="rId12" w:history="1">
        <w:r>
          <w:rPr>
            <w:rStyle w:val="Lienhypertexte"/>
            <w:rFonts w:ascii="DIN Pro Regular" w:hAnsi="DIN Pro Regular" w:cs="DIN Pro Regular"/>
            <w:b/>
            <w:sz w:val="20"/>
            <w:szCs w:val="20"/>
          </w:rPr>
          <w:t>representants.usagers</w:t>
        </w:r>
        <w:r>
          <w:rPr>
            <w:rStyle w:val="Lienhypertexte"/>
            <w:rFonts w:asciiTheme="minorHAnsi" w:hAnsiTheme="minorHAnsi" w:cstheme="minorHAnsi"/>
            <w:b/>
            <w:sz w:val="20"/>
            <w:szCs w:val="20"/>
          </w:rPr>
          <w:t>@</w:t>
        </w:r>
        <w:r>
          <w:rPr>
            <w:rStyle w:val="Lienhypertexte"/>
            <w:rFonts w:ascii="DIN Pro Regular" w:hAnsi="DIN Pro Regular" w:cs="DIN Pro Regular"/>
            <w:b/>
            <w:sz w:val="20"/>
            <w:szCs w:val="20"/>
          </w:rPr>
          <w:t>lpv.univi.fr</w:t>
        </w:r>
      </w:hyperlink>
      <w:r>
        <w:rPr>
          <w:rFonts w:ascii="DIN Pro Regular" w:hAnsi="DIN Pro Regular" w:cs="DIN Pro Regular"/>
          <w:b/>
          <w:sz w:val="20"/>
          <w:szCs w:val="20"/>
        </w:rPr>
        <w:t xml:space="preserve"> </w:t>
      </w:r>
      <w:r>
        <w:rPr>
          <w:rFonts w:ascii="DIN Pro Regular" w:hAnsi="DIN Pro Regular" w:cs="DIN Pro Regular"/>
          <w:sz w:val="20"/>
          <w:szCs w:val="20"/>
        </w:rPr>
        <w:t>ou au 01.39.63.73.76</w:t>
      </w:r>
    </w:p>
    <w:p>
      <w:pPr>
        <w:pStyle w:val="Paragraphedeliste"/>
        <w:numPr>
          <w:ilvl w:val="0"/>
          <w:numId w:val="6"/>
        </w:numPr>
        <w:ind w:right="71" w:hanging="153"/>
        <w:rPr>
          <w:rFonts w:ascii="DIN Pro Regular" w:hAnsi="DIN Pro Regular" w:cs="DIN Pro Regular"/>
          <w:b/>
          <w:sz w:val="20"/>
          <w:szCs w:val="20"/>
          <w:u w:color="9BBB59"/>
        </w:rPr>
      </w:pPr>
      <w:r>
        <w:rPr>
          <w:rFonts w:ascii="DIN Pro Regular" w:hAnsi="DIN Pro Regular" w:cs="DIN Pro Regular"/>
          <w:sz w:val="20"/>
          <w:szCs w:val="20"/>
        </w:rPr>
        <w:t>La Commission des usagers</w:t>
      </w:r>
    </w:p>
    <w:p>
      <w:pPr>
        <w:ind w:right="-428" w:firstLine="0"/>
        <w:rPr>
          <w:rFonts w:ascii="DIN Pro Regular" w:hAnsi="DIN Pro Regular" w:cs="DIN Pro Regular"/>
          <w:sz w:val="20"/>
          <w:szCs w:val="20"/>
        </w:rPr>
      </w:pPr>
    </w:p>
    <w:p>
      <w:pPr>
        <w:ind w:right="-428" w:firstLine="0"/>
        <w:rPr>
          <w:rFonts w:ascii="DIN Pro Regular" w:hAnsi="DIN Pro Regular" w:cs="DIN Pro Regular"/>
          <w:sz w:val="20"/>
          <w:szCs w:val="20"/>
        </w:rPr>
      </w:pPr>
      <w:r>
        <w:rPr>
          <w:rFonts w:ascii="DIN Pro Regular" w:hAnsi="DIN Pro Regular" w:cs="DIN Pro Regular"/>
          <w:sz w:val="20"/>
          <w:szCs w:val="20"/>
        </w:rPr>
        <w:t xml:space="preserve">Vous pouvez obtenir communication de votre dossier médical par demande écrite à l’attention du Directeur de l’Hôpital La Porte Verte, accompagnée d’un justificatif de votre identité (exemple : copie de votre carte d’identité). </w:t>
      </w:r>
    </w:p>
    <w:p>
      <w:pPr>
        <w:ind w:right="-428" w:firstLine="0"/>
        <w:rPr>
          <w:rFonts w:ascii="DIN Pro Regular" w:hAnsi="DIN Pro Regular" w:cs="DIN Pro Regular"/>
          <w:b/>
        </w:rPr>
      </w:pPr>
    </w:p>
    <w:p>
      <w:pPr>
        <w:ind w:left="-207" w:right="71" w:firstLine="0"/>
        <w:jc w:val="both"/>
        <w:rPr>
          <w:rStyle w:val="Rfrenceintense"/>
          <w:rFonts w:asciiTheme="minorHAnsi" w:hAnsiTheme="minorHAnsi" w:cstheme="minorHAnsi"/>
          <w:color w:val="auto"/>
          <w:sz w:val="18"/>
          <w:szCs w:val="18"/>
        </w:rPr>
        <w:sectPr>
          <w:type w:val="continuous"/>
          <w:pgSz w:w="11906" w:h="16838"/>
          <w:pgMar w:top="720" w:right="720" w:bottom="720" w:left="720" w:header="708" w:footer="708" w:gutter="0"/>
          <w:cols w:num="2" w:space="848"/>
          <w:titlePg/>
          <w:docGrid w:linePitch="360"/>
        </w:sectPr>
      </w:pPr>
    </w:p>
    <w:p>
      <w:pPr>
        <w:ind w:left="-207" w:right="71" w:firstLine="0"/>
        <w:jc w:val="both"/>
        <w:rPr>
          <w:rStyle w:val="Rfrenceintense"/>
          <w:rFonts w:asciiTheme="minorHAnsi" w:hAnsiTheme="minorHAnsi" w:cstheme="minorHAnsi"/>
          <w:color w:val="auto"/>
          <w:sz w:val="18"/>
          <w:szCs w:val="18"/>
        </w:rPr>
      </w:pPr>
    </w:p>
    <w:p>
      <w:pPr>
        <w:ind w:left="-207" w:right="71" w:firstLine="0"/>
        <w:jc w:val="both"/>
        <w:rPr>
          <w:rStyle w:val="Rfrenceintense"/>
          <w:rFonts w:asciiTheme="minorHAnsi" w:hAnsiTheme="minorHAnsi" w:cstheme="minorHAnsi"/>
          <w:color w:val="auto"/>
          <w:sz w:val="18"/>
          <w:szCs w:val="18"/>
        </w:rPr>
      </w:pPr>
      <w:r>
        <w:rPr>
          <w:rStyle w:val="Rfrenceintense"/>
          <w:rFonts w:asciiTheme="minorHAnsi" w:hAnsiTheme="minorHAnsi" w:cstheme="minorHAnsi"/>
          <w:noProof/>
          <w:color w:val="auto"/>
          <w:sz w:val="18"/>
          <w:szCs w:val="18"/>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83446</wp:posOffset>
                </wp:positionV>
                <wp:extent cx="6629400" cy="2977913"/>
                <wp:effectExtent l="0" t="0" r="19050" b="1333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977913"/>
                        </a:xfrm>
                        <a:prstGeom prst="rect">
                          <a:avLst/>
                        </a:prstGeom>
                        <a:solidFill>
                          <a:srgbClr val="FFFFFF"/>
                        </a:solidFill>
                        <a:ln w="9525">
                          <a:solidFill>
                            <a:srgbClr val="781B96"/>
                          </a:solidFill>
                          <a:miter lim="800000"/>
                          <a:headEnd/>
                          <a:tailEnd/>
                        </a:ln>
                      </wps:spPr>
                      <wps:txbx>
                        <w:txbxContent>
                          <w:p>
                            <w:pPr>
                              <w:ind w:right="71" w:firstLine="0"/>
                              <w:jc w:val="both"/>
                              <w:rPr>
                                <w:rStyle w:val="Rfrenceple"/>
                                <w:rFonts w:ascii="DIN Pro Light" w:hAnsi="DIN Pro Light" w:cs="DIN Pro Light"/>
                                <w:sz w:val="20"/>
                                <w:szCs w:val="20"/>
                                <w:u w:val="none"/>
                              </w:rPr>
                            </w:pPr>
                            <w:r>
                              <w:rPr>
                                <w:rStyle w:val="Rfrenceintense"/>
                                <w:rFonts w:ascii="DIN Pro Light" w:hAnsi="DIN Pro Light" w:cs="DIN Pro Light"/>
                                <w:color w:val="781B96"/>
                                <w:sz w:val="20"/>
                                <w:szCs w:val="20"/>
                                <w:u w:color="781B96"/>
                              </w:rPr>
                              <w:t>Références règlementaires :</w:t>
                            </w:r>
                            <w:r>
                              <w:rPr>
                                <w:rFonts w:ascii="DIN Pro Light" w:hAnsi="DIN Pro Light" w:cs="DIN Pro Light"/>
                                <w:sz w:val="20"/>
                                <w:szCs w:val="20"/>
                              </w:rPr>
                              <w:t xml:space="preserve"> </w:t>
                            </w:r>
                            <w:r>
                              <w:rPr>
                                <w:rStyle w:val="Rfrenceple"/>
                                <w:rFonts w:ascii="DIN Pro Light" w:hAnsi="DIN Pro Light" w:cs="DIN Pro Light"/>
                                <w:sz w:val="20"/>
                                <w:szCs w:val="20"/>
                                <w:u w:val="none"/>
                              </w:rPr>
                              <w:t>articles D6124-301 à 305 issus du décret n°2012-969 du 20 août 2012 modifiant certaines conditions techniques de fonctionnement des structures alternatives à l’hospitalisation</w:t>
                            </w:r>
                          </w:p>
                          <w:p>
                            <w:pPr>
                              <w:ind w:right="71" w:firstLine="0"/>
                              <w:jc w:val="both"/>
                              <w:rPr>
                                <w:rStyle w:val="Rfrenceple"/>
                                <w:rFonts w:ascii="DIN Pro Light" w:hAnsi="DIN Pro Light" w:cs="DIN Pro Light"/>
                                <w:sz w:val="20"/>
                                <w:szCs w:val="20"/>
                                <w:u w:val="none"/>
                              </w:rPr>
                            </w:pPr>
                            <w:r>
                              <w:rPr>
                                <w:rFonts w:ascii="DIN Pro Light" w:hAnsi="DIN Pro Light" w:cs="DIN Pro Light"/>
                                <w:sz w:val="20"/>
                                <w:szCs w:val="20"/>
                                <w:u w:color="9BBB59"/>
                              </w:rPr>
                              <w:t>Décret n°2022-24 du 11 janvier 2022 relatif aux conditions d’implantation de l’activité de soins médicaux et de réadaptation</w:t>
                            </w:r>
                            <w:r>
                              <w:rPr>
                                <w:rFonts w:ascii="DIN Pro Light" w:hAnsi="DIN Pro Light" w:cs="DIN Pro Light"/>
                                <w:sz w:val="20"/>
                                <w:szCs w:val="20"/>
                                <w:u w:color="9BBB59"/>
                              </w:rPr>
                              <w:br/>
                              <w:t>Décret n°2022-25 du 11 janvier 2022 relatif aux conditions techniques de fonctionnement de l’activité de soins médicaux et de réadaptation</w:t>
                            </w:r>
                          </w:p>
                          <w:p>
                            <w:pPr>
                              <w:ind w:right="71" w:firstLine="0"/>
                              <w:jc w:val="both"/>
                              <w:rPr>
                                <w:rFonts w:ascii="DIN Pro Light" w:hAnsi="DIN Pro Light" w:cs="DIN Pro Light"/>
                                <w:sz w:val="20"/>
                                <w:szCs w:val="20"/>
                              </w:rPr>
                            </w:pPr>
                          </w:p>
                          <w:p>
                            <w:pPr>
                              <w:ind w:right="71" w:firstLine="0"/>
                              <w:jc w:val="both"/>
                              <w:rPr>
                                <w:rStyle w:val="Rfrenceintense"/>
                                <w:rFonts w:ascii="DIN Pro Light" w:hAnsi="DIN Pro Light" w:cs="DIN Pro Light"/>
                                <w:color w:val="781B96"/>
                                <w:sz w:val="20"/>
                                <w:szCs w:val="20"/>
                                <w:u w:color="781B96"/>
                              </w:rPr>
                            </w:pPr>
                            <w:r>
                              <w:rPr>
                                <w:rStyle w:val="Rfrenceintense"/>
                                <w:rFonts w:ascii="DIN Pro Light" w:hAnsi="DIN Pro Light" w:cs="DIN Pro Light"/>
                                <w:color w:val="781B96"/>
                                <w:sz w:val="20"/>
                                <w:szCs w:val="20"/>
                                <w:u w:color="781B96"/>
                              </w:rPr>
                              <w:t>Elaboration de la charte :</w:t>
                            </w:r>
                          </w:p>
                          <w:p>
                            <w:pPr>
                              <w:ind w:right="71" w:firstLine="0"/>
                              <w:jc w:val="both"/>
                              <w:rPr>
                                <w:rFonts w:ascii="DIN Pro Light" w:hAnsi="DIN Pro Light" w:cs="DIN Pro Light"/>
                                <w:sz w:val="20"/>
                                <w:szCs w:val="20"/>
                              </w:rPr>
                            </w:pPr>
                            <w:r>
                              <w:rPr>
                                <w:rFonts w:ascii="DIN Pro Light" w:hAnsi="DIN Pro Light" w:cs="DIN Pro Light"/>
                                <w:sz w:val="20"/>
                                <w:szCs w:val="20"/>
                              </w:rPr>
                              <w:t>Cette Charte a été élaborée par l’équipe médicale et soignante de l’hôpital de jour de soins médicaux et de réadaptation gériatriques et par la Direction de l’établissement. Elle est soumise pour avis à la Commission médicale d’établissement (CME) et à la Commission des usagers (CDU).</w:t>
                            </w:r>
                          </w:p>
                          <w:p>
                            <w:pPr>
                              <w:ind w:right="71" w:firstLine="0"/>
                              <w:jc w:val="both"/>
                              <w:rPr>
                                <w:rFonts w:ascii="DIN Pro Light" w:hAnsi="DIN Pro Light" w:cs="DIN Pro Light"/>
                                <w:sz w:val="20"/>
                                <w:szCs w:val="20"/>
                              </w:rPr>
                            </w:pPr>
                          </w:p>
                          <w:p>
                            <w:pPr>
                              <w:ind w:right="71" w:firstLine="0"/>
                              <w:jc w:val="both"/>
                              <w:rPr>
                                <w:rFonts w:ascii="DIN Pro Light" w:hAnsi="DIN Pro Light" w:cs="DIN Pro Light"/>
                                <w:i/>
                                <w:sz w:val="20"/>
                                <w:szCs w:val="20"/>
                              </w:rPr>
                            </w:pPr>
                            <w:r>
                              <w:rPr>
                                <w:rFonts w:ascii="DIN Pro Light" w:hAnsi="DIN Pro Light" w:cs="DIN Pro Light"/>
                                <w:sz w:val="20"/>
                                <w:szCs w:val="20"/>
                              </w:rPr>
                              <w:t>Cette Charte est applicable depuis mai 2022</w:t>
                            </w:r>
                            <w:r>
                              <w:rPr>
                                <w:rFonts w:ascii="DIN Pro Light" w:hAnsi="DIN Pro Light" w:cs="DIN Pro Light"/>
                                <w:i/>
                                <w:sz w:val="20"/>
                                <w:szCs w:val="20"/>
                              </w:rPr>
                              <w:t xml:space="preserve"> </w:t>
                            </w:r>
                          </w:p>
                          <w:p>
                            <w:pPr>
                              <w:ind w:right="71" w:firstLine="0"/>
                              <w:jc w:val="both"/>
                              <w:rPr>
                                <w:rFonts w:ascii="DIN Pro Light" w:hAnsi="DIN Pro Light" w:cs="DIN Pro Light"/>
                                <w:sz w:val="20"/>
                                <w:szCs w:val="20"/>
                              </w:rPr>
                            </w:pPr>
                            <w:r>
                              <w:rPr>
                                <w:rFonts w:ascii="DIN Pro Light" w:hAnsi="DIN Pro Light" w:cs="DIN Pro Light"/>
                                <w:sz w:val="20"/>
                                <w:szCs w:val="20"/>
                              </w:rPr>
                              <w:t xml:space="preserve">Elle a été communiquée à l’ARS </w:t>
                            </w:r>
                            <w:proofErr w:type="spellStart"/>
                            <w:r>
                              <w:rPr>
                                <w:rFonts w:ascii="DIN Pro Light" w:hAnsi="DIN Pro Light" w:cs="DIN Pro Light"/>
                                <w:sz w:val="20"/>
                                <w:szCs w:val="20"/>
                              </w:rPr>
                              <w:t>IdF</w:t>
                            </w:r>
                            <w:proofErr w:type="spellEnd"/>
                            <w:r>
                              <w:rPr>
                                <w:rFonts w:ascii="DIN Pro Light" w:hAnsi="DIN Pro Light" w:cs="DIN Pro Light"/>
                                <w:sz w:val="20"/>
                                <w:szCs w:val="20"/>
                              </w:rPr>
                              <w:t xml:space="preserve"> en mai 2022</w:t>
                            </w:r>
                          </w:p>
                          <w:p>
                            <w:pPr>
                              <w:ind w:right="71" w:firstLine="0"/>
                              <w:jc w:val="both"/>
                              <w:rPr>
                                <w:rFonts w:ascii="DIN Pro Light" w:hAnsi="DIN Pro Light" w:cs="DIN Pro Light"/>
                                <w:i/>
                                <w:sz w:val="20"/>
                                <w:szCs w:val="20"/>
                              </w:rPr>
                            </w:pPr>
                            <w:r>
                              <w:rPr>
                                <w:rFonts w:ascii="DIN Pro Light" w:hAnsi="DIN Pro Light" w:cs="DIN Pro Light"/>
                                <w:sz w:val="20"/>
                                <w:szCs w:val="20"/>
                              </w:rPr>
                              <w:t>Elle a été revue en octobre 2024</w:t>
                            </w:r>
                          </w:p>
                          <w:p>
                            <w:pPr>
                              <w:ind w:right="71" w:firstLine="0"/>
                              <w:jc w:val="both"/>
                              <w:rPr>
                                <w:rFonts w:ascii="DIN Pro Light" w:hAnsi="DIN Pro Light" w:cs="DIN Pro Light"/>
                                <w:sz w:val="20"/>
                                <w:szCs w:val="20"/>
                              </w:rPr>
                            </w:pPr>
                          </w:p>
                          <w:p>
                            <w:pPr>
                              <w:ind w:right="71" w:firstLine="0"/>
                              <w:jc w:val="both"/>
                            </w:pPr>
                            <w:r>
                              <w:rPr>
                                <w:rFonts w:ascii="DIN Pro Light" w:hAnsi="DIN Pro Light" w:cs="DIN Pro Light"/>
                                <w:sz w:val="20"/>
                                <w:szCs w:val="20"/>
                              </w:rPr>
                              <w:t>Toute modification de cette Charte aura lieu dans les mêmes conditions et fait l’objet d’une information de l’ensemble du personnel impliqué dans la prise en charge des patients et des patients pris en charge.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70.8pt;margin-top:6.55pt;width:522pt;height:23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" strokecolor="#781b96">
                <v:textbox>
                  <w:txbxContent>
                    <w:p>
                      <w:pPr>
                        <w:ind w:right="71" w:firstLine="0"/>
                        <w:jc w:val="both"/>
                        <w:rPr>
                          <w:rStyle w:val="Rfrenceple"/>
                          <w:rFonts w:ascii="DIN Pro Light" w:hAnsi="DIN Pro Light" w:cs="DIN Pro Light"/>
                          <w:sz w:val="20"/>
                          <w:szCs w:val="20"/>
                          <w:u w:val="none"/>
                        </w:rPr>
                      </w:pPr>
                      <w:r>
                        <w:rPr>
                          <w:rStyle w:val="Rfrenceintense"/>
                          <w:rFonts w:ascii="DIN Pro Light" w:hAnsi="DIN Pro Light" w:cs="DIN Pro Light"/>
                          <w:color w:val="781B96"/>
                          <w:sz w:val="20"/>
                          <w:szCs w:val="20"/>
                          <w:u w:color="781B96"/>
                        </w:rPr>
                        <w:t>Références règlementaires :</w:t>
                      </w:r>
                      <w:r>
                        <w:rPr>
                          <w:rFonts w:ascii="DIN Pro Light" w:hAnsi="DIN Pro Light" w:cs="DIN Pro Light"/>
                          <w:sz w:val="20"/>
                          <w:szCs w:val="20"/>
                        </w:rPr>
                        <w:t xml:space="preserve"> </w:t>
                      </w:r>
                      <w:r>
                        <w:rPr>
                          <w:rStyle w:val="Rfrenceple"/>
                          <w:rFonts w:ascii="DIN Pro Light" w:hAnsi="DIN Pro Light" w:cs="DIN Pro Light"/>
                          <w:sz w:val="20"/>
                          <w:szCs w:val="20"/>
                          <w:u w:val="none"/>
                        </w:rPr>
                        <w:t>articles D6124-301 à 305 issus du décret n°2012-969 du 20 août 2012 modifiant certaines conditions techniques de fonctionnement des structures alternatives à l’hospitalisation</w:t>
                      </w:r>
                    </w:p>
                    <w:p>
                      <w:pPr>
                        <w:ind w:right="71" w:firstLine="0"/>
                        <w:jc w:val="both"/>
                        <w:rPr>
                          <w:rStyle w:val="Rfrenceple"/>
                          <w:rFonts w:ascii="DIN Pro Light" w:hAnsi="DIN Pro Light" w:cs="DIN Pro Light"/>
                          <w:sz w:val="20"/>
                          <w:szCs w:val="20"/>
                          <w:u w:val="none"/>
                        </w:rPr>
                      </w:pPr>
                      <w:r>
                        <w:rPr>
                          <w:rFonts w:ascii="DIN Pro Light" w:hAnsi="DIN Pro Light" w:cs="DIN Pro Light"/>
                          <w:sz w:val="20"/>
                          <w:szCs w:val="20"/>
                          <w:u w:color="9BBB59"/>
                        </w:rPr>
                        <w:t>Décret n°2022-24 du 11 janvier 2022 relatif aux conditions d’implantation de l’activité de soins médicaux et de réadaptation</w:t>
                      </w:r>
                      <w:r>
                        <w:rPr>
                          <w:rFonts w:ascii="DIN Pro Light" w:hAnsi="DIN Pro Light" w:cs="DIN Pro Light"/>
                          <w:sz w:val="20"/>
                          <w:szCs w:val="20"/>
                          <w:u w:color="9BBB59"/>
                        </w:rPr>
                        <w:br/>
                        <w:t>Décret n°2022-25 du 11 janvier 2022 relatif aux conditions techniques de fonctionnement de l’activité de soins médicaux et de réadaptation</w:t>
                      </w:r>
                    </w:p>
                    <w:p>
                      <w:pPr>
                        <w:ind w:right="71" w:firstLine="0"/>
                        <w:jc w:val="both"/>
                        <w:rPr>
                          <w:rFonts w:ascii="DIN Pro Light" w:hAnsi="DIN Pro Light" w:cs="DIN Pro Light"/>
                          <w:sz w:val="20"/>
                          <w:szCs w:val="20"/>
                        </w:rPr>
                      </w:pPr>
                    </w:p>
                    <w:p>
                      <w:pPr>
                        <w:ind w:right="71" w:firstLine="0"/>
                        <w:jc w:val="both"/>
                        <w:rPr>
                          <w:rStyle w:val="Rfrenceintense"/>
                          <w:rFonts w:ascii="DIN Pro Light" w:hAnsi="DIN Pro Light" w:cs="DIN Pro Light"/>
                          <w:color w:val="781B96"/>
                          <w:sz w:val="20"/>
                          <w:szCs w:val="20"/>
                          <w:u w:color="781B96"/>
                        </w:rPr>
                      </w:pPr>
                      <w:r>
                        <w:rPr>
                          <w:rStyle w:val="Rfrenceintense"/>
                          <w:rFonts w:ascii="DIN Pro Light" w:hAnsi="DIN Pro Light" w:cs="DIN Pro Light"/>
                          <w:color w:val="781B96"/>
                          <w:sz w:val="20"/>
                          <w:szCs w:val="20"/>
                          <w:u w:color="781B96"/>
                        </w:rPr>
                        <w:t>Elaboration de la charte :</w:t>
                      </w:r>
                    </w:p>
                    <w:p>
                      <w:pPr>
                        <w:ind w:right="71" w:firstLine="0"/>
                        <w:jc w:val="both"/>
                        <w:rPr>
                          <w:rFonts w:ascii="DIN Pro Light" w:hAnsi="DIN Pro Light" w:cs="DIN Pro Light"/>
                          <w:sz w:val="20"/>
                          <w:szCs w:val="20"/>
                        </w:rPr>
                      </w:pPr>
                      <w:r>
                        <w:rPr>
                          <w:rFonts w:ascii="DIN Pro Light" w:hAnsi="DIN Pro Light" w:cs="DIN Pro Light"/>
                          <w:sz w:val="20"/>
                          <w:szCs w:val="20"/>
                        </w:rPr>
                        <w:t>Cette Charte a été élaborée par l’équipe médicale et soignante de l’hôpital de jour de soins médicaux et de réadaptation gériatriques et par la Direction de l’établissement. Elle est soumise pour avis à la Commission médicale d’établissement (CME) et à la Commission des usagers (CDU).</w:t>
                      </w:r>
                    </w:p>
                    <w:p>
                      <w:pPr>
                        <w:ind w:right="71" w:firstLine="0"/>
                        <w:jc w:val="both"/>
                        <w:rPr>
                          <w:rFonts w:ascii="DIN Pro Light" w:hAnsi="DIN Pro Light" w:cs="DIN Pro Light"/>
                          <w:sz w:val="20"/>
                          <w:szCs w:val="20"/>
                        </w:rPr>
                      </w:pPr>
                    </w:p>
                    <w:p>
                      <w:pPr>
                        <w:ind w:right="71" w:firstLine="0"/>
                        <w:jc w:val="both"/>
                        <w:rPr>
                          <w:rFonts w:ascii="DIN Pro Light" w:hAnsi="DIN Pro Light" w:cs="DIN Pro Light"/>
                          <w:i/>
                          <w:sz w:val="20"/>
                          <w:szCs w:val="20"/>
                        </w:rPr>
                      </w:pPr>
                      <w:r>
                        <w:rPr>
                          <w:rFonts w:ascii="DIN Pro Light" w:hAnsi="DIN Pro Light" w:cs="DIN Pro Light"/>
                          <w:sz w:val="20"/>
                          <w:szCs w:val="20"/>
                        </w:rPr>
                        <w:t>Cette Charte est applicable depuis mai 2022</w:t>
                      </w:r>
                      <w:r>
                        <w:rPr>
                          <w:rFonts w:ascii="DIN Pro Light" w:hAnsi="DIN Pro Light" w:cs="DIN Pro Light"/>
                          <w:i/>
                          <w:sz w:val="20"/>
                          <w:szCs w:val="20"/>
                        </w:rPr>
                        <w:t xml:space="preserve"> </w:t>
                      </w:r>
                    </w:p>
                    <w:p>
                      <w:pPr>
                        <w:ind w:right="71" w:firstLine="0"/>
                        <w:jc w:val="both"/>
                        <w:rPr>
                          <w:rFonts w:ascii="DIN Pro Light" w:hAnsi="DIN Pro Light" w:cs="DIN Pro Light"/>
                          <w:sz w:val="20"/>
                          <w:szCs w:val="20"/>
                        </w:rPr>
                      </w:pPr>
                      <w:r>
                        <w:rPr>
                          <w:rFonts w:ascii="DIN Pro Light" w:hAnsi="DIN Pro Light" w:cs="DIN Pro Light"/>
                          <w:sz w:val="20"/>
                          <w:szCs w:val="20"/>
                        </w:rPr>
                        <w:t xml:space="preserve">Elle a été communiquée à l’ARS </w:t>
                      </w:r>
                      <w:proofErr w:type="spellStart"/>
                      <w:r>
                        <w:rPr>
                          <w:rFonts w:ascii="DIN Pro Light" w:hAnsi="DIN Pro Light" w:cs="DIN Pro Light"/>
                          <w:sz w:val="20"/>
                          <w:szCs w:val="20"/>
                        </w:rPr>
                        <w:t>IdF</w:t>
                      </w:r>
                      <w:proofErr w:type="spellEnd"/>
                      <w:r>
                        <w:rPr>
                          <w:rFonts w:ascii="DIN Pro Light" w:hAnsi="DIN Pro Light" w:cs="DIN Pro Light"/>
                          <w:sz w:val="20"/>
                          <w:szCs w:val="20"/>
                        </w:rPr>
                        <w:t xml:space="preserve"> en mai 2022</w:t>
                      </w:r>
                    </w:p>
                    <w:p>
                      <w:pPr>
                        <w:ind w:right="71" w:firstLine="0"/>
                        <w:jc w:val="both"/>
                        <w:rPr>
                          <w:rFonts w:ascii="DIN Pro Light" w:hAnsi="DIN Pro Light" w:cs="DIN Pro Light"/>
                          <w:i/>
                          <w:sz w:val="20"/>
                          <w:szCs w:val="20"/>
                        </w:rPr>
                      </w:pPr>
                      <w:r>
                        <w:rPr>
                          <w:rFonts w:ascii="DIN Pro Light" w:hAnsi="DIN Pro Light" w:cs="DIN Pro Light"/>
                          <w:sz w:val="20"/>
                          <w:szCs w:val="20"/>
                        </w:rPr>
                        <w:t>Elle a été revue en octobre 2024</w:t>
                      </w:r>
                    </w:p>
                    <w:p>
                      <w:pPr>
                        <w:ind w:right="71" w:firstLine="0"/>
                        <w:jc w:val="both"/>
                        <w:rPr>
                          <w:rFonts w:ascii="DIN Pro Light" w:hAnsi="DIN Pro Light" w:cs="DIN Pro Light"/>
                          <w:sz w:val="20"/>
                          <w:szCs w:val="20"/>
                        </w:rPr>
                      </w:pPr>
                    </w:p>
                    <w:p>
                      <w:pPr>
                        <w:ind w:right="71" w:firstLine="0"/>
                        <w:jc w:val="both"/>
                      </w:pPr>
                      <w:r>
                        <w:rPr>
                          <w:rFonts w:ascii="DIN Pro Light" w:hAnsi="DIN Pro Light" w:cs="DIN Pro Light"/>
                          <w:sz w:val="20"/>
                          <w:szCs w:val="20"/>
                        </w:rPr>
                        <w:t>Toute modification de cette Charte aura lieu dans les mêmes conditions et fait l’objet d’une information de l’ensemble du personnel impliqué dans la prise en charge des patients et des patients pris en charge.</w:t>
                      </w:r>
                    </w:p>
                  </w:txbxContent>
                </v:textbox>
                <w10:wrap anchorx="margin"/>
              </v:shape>
            </w:pict>
          </mc:Fallback>
        </mc:AlternateContent>
      </w:r>
    </w:p>
    <w:p>
      <w:pPr>
        <w:ind w:left="-207" w:right="71" w:firstLine="0"/>
        <w:jc w:val="both"/>
        <w:rPr>
          <w:rStyle w:val="Rfrenceintense"/>
          <w:rFonts w:asciiTheme="minorHAnsi" w:hAnsiTheme="minorHAnsi" w:cstheme="minorHAnsi"/>
          <w:color w:val="auto"/>
          <w:sz w:val="18"/>
          <w:szCs w:val="18"/>
        </w:rPr>
      </w:pPr>
    </w:p>
    <w:p>
      <w:pPr>
        <w:ind w:left="-207" w:right="71" w:firstLine="0"/>
        <w:jc w:val="both"/>
        <w:rPr>
          <w:rStyle w:val="Rfrenceintense"/>
          <w:rFonts w:asciiTheme="minorHAnsi" w:hAnsiTheme="minorHAnsi" w:cstheme="minorHAnsi"/>
          <w:color w:val="auto"/>
          <w:sz w:val="18"/>
          <w:szCs w:val="18"/>
        </w:rPr>
      </w:pPr>
    </w:p>
    <w:p>
      <w:pPr>
        <w:ind w:right="71"/>
        <w:jc w:val="both"/>
        <w:rPr>
          <w:rFonts w:asciiTheme="minorHAnsi" w:hAnsiTheme="minorHAnsi" w:cstheme="minorHAnsi"/>
          <w:sz w:val="20"/>
          <w:szCs w:val="20"/>
        </w:rPr>
      </w:pPr>
    </w:p>
    <w:p>
      <w:pPr>
        <w:jc w:val="both"/>
        <w:rPr>
          <w:rFonts w:asciiTheme="minorHAnsi" w:hAnsiTheme="minorHAnsi" w:cstheme="minorHAnsi"/>
          <w:sz w:val="20"/>
          <w:szCs w:val="20"/>
        </w:rPr>
      </w:pPr>
    </w:p>
    <w:p>
      <w:pPr>
        <w:jc w:val="both"/>
        <w:rPr>
          <w:rFonts w:asciiTheme="minorHAnsi" w:hAnsiTheme="minorHAnsi" w:cstheme="minorHAnsi"/>
          <w:sz w:val="20"/>
          <w:szCs w:val="20"/>
        </w:rPr>
      </w:pPr>
    </w:p>
    <w:p>
      <w:pPr>
        <w:jc w:val="both"/>
        <w:rPr>
          <w:rFonts w:asciiTheme="minorHAnsi" w:hAnsiTheme="minorHAnsi" w:cstheme="minorHAnsi"/>
        </w:rPr>
      </w:pPr>
    </w:p>
    <w:sectPr>
      <w:type w:val="continuous"/>
      <w:pgSz w:w="11906" w:h="16838"/>
      <w:pgMar w:top="720" w:right="720" w:bottom="720" w:left="720" w:header="708" w:footer="708" w:gutter="0"/>
      <w:cols w:num="2" w:space="84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 Pro Bold">
    <w:panose1 w:val="020B08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DIN Pro Regular">
    <w:panose1 w:val="020B0504020101020102"/>
    <w:charset w:val="00"/>
    <w:family w:val="swiss"/>
    <w:notTrueType/>
    <w:pitch w:val="variable"/>
    <w:sig w:usb0="A00002BF" w:usb1="4000207B" w:usb2="00000008" w:usb3="00000000" w:csb0="0000009F" w:csb1="00000000"/>
  </w:font>
  <w:font w:name="Verdana">
    <w:panose1 w:val="020B0604030504040204"/>
    <w:charset w:val="00"/>
    <w:family w:val="swiss"/>
    <w:pitch w:val="variable"/>
    <w:sig w:usb0="A00006FF" w:usb1="4000205B" w:usb2="00000010" w:usb3="00000000" w:csb0="0000019F" w:csb1="00000000"/>
  </w:font>
  <w:font w:name="DIN Pro Light">
    <w:panose1 w:val="020B050402010101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color w:val="7F7F7F" w:themeColor="text1" w:themeTint="80"/>
        <w:sz w:val="16"/>
        <w:szCs w:val="16"/>
      </w:rPr>
      <w:id w:val="771513799"/>
      <w:docPartObj>
        <w:docPartGallery w:val="Page Numbers (Bottom of Page)"/>
        <w:docPartUnique/>
      </w:docPartObj>
    </w:sdtPr>
    <w:sdtEndPr>
      <w:rPr>
        <w:color w:val="auto"/>
      </w:rPr>
    </w:sdtEndPr>
    <w:sdtContent>
      <w:p>
        <w:pPr>
          <w:pStyle w:val="Pieddepage"/>
          <w:jc w:val="right"/>
          <w:rPr>
            <w:rFonts w:ascii="Verdana" w:hAnsi="Verdana"/>
            <w:sz w:val="16"/>
            <w:szCs w:val="16"/>
          </w:rPr>
        </w:pPr>
        <w:r>
          <w:rPr>
            <w:rFonts w:ascii="Verdana" w:hAnsi="Verdana"/>
            <w:color w:val="7F7F7F" w:themeColor="text1" w:themeTint="80"/>
            <w:sz w:val="16"/>
            <w:szCs w:val="16"/>
          </w:rPr>
          <w:t>Charte de fonctionnement de l’hôpital de jour de SMR gériatrique - 2024</w:t>
        </w:r>
        <w:r>
          <w:rPr>
            <w:rFonts w:ascii="Verdana" w:hAnsi="Verdana"/>
            <w:color w:val="7F7F7F" w:themeColor="text1" w:themeTint="80"/>
            <w:sz w:val="16"/>
            <w:szCs w:val="16"/>
          </w:rPr>
          <w:tab/>
          <w:t xml:space="preserve">Page </w:t>
        </w:r>
        <w:r>
          <w:rPr>
            <w:rFonts w:ascii="Verdana" w:hAnsi="Verdana"/>
            <w:b/>
            <w:bCs/>
            <w:color w:val="7F7F7F" w:themeColor="text1" w:themeTint="80"/>
            <w:sz w:val="16"/>
            <w:szCs w:val="16"/>
          </w:rPr>
          <w:fldChar w:fldCharType="begin"/>
        </w:r>
        <w:r>
          <w:rPr>
            <w:rFonts w:ascii="Verdana" w:hAnsi="Verdana"/>
            <w:b/>
            <w:bCs/>
            <w:color w:val="7F7F7F" w:themeColor="text1" w:themeTint="80"/>
            <w:sz w:val="16"/>
            <w:szCs w:val="16"/>
          </w:rPr>
          <w:instrText>PAGE  \* Arabic  \* MERGEFORMAT</w:instrText>
        </w:r>
        <w:r>
          <w:rPr>
            <w:rFonts w:ascii="Verdana" w:hAnsi="Verdana"/>
            <w:b/>
            <w:bCs/>
            <w:color w:val="7F7F7F" w:themeColor="text1" w:themeTint="80"/>
            <w:sz w:val="16"/>
            <w:szCs w:val="16"/>
          </w:rPr>
          <w:fldChar w:fldCharType="separate"/>
        </w:r>
        <w:r>
          <w:rPr>
            <w:rFonts w:ascii="Verdana" w:hAnsi="Verdana"/>
            <w:b/>
            <w:bCs/>
            <w:noProof/>
            <w:color w:val="7F7F7F" w:themeColor="text1" w:themeTint="80"/>
            <w:sz w:val="16"/>
            <w:szCs w:val="16"/>
          </w:rPr>
          <w:t>3</w:t>
        </w:r>
        <w:r>
          <w:rPr>
            <w:rFonts w:ascii="Verdana" w:hAnsi="Verdana"/>
            <w:b/>
            <w:bCs/>
            <w:color w:val="7F7F7F" w:themeColor="text1" w:themeTint="80"/>
            <w:sz w:val="16"/>
            <w:szCs w:val="16"/>
          </w:rPr>
          <w:fldChar w:fldCharType="end"/>
        </w:r>
        <w:r>
          <w:rPr>
            <w:rFonts w:ascii="Verdana" w:hAnsi="Verdana"/>
            <w:color w:val="7F7F7F" w:themeColor="text1" w:themeTint="80"/>
            <w:sz w:val="16"/>
            <w:szCs w:val="16"/>
          </w:rPr>
          <w:t xml:space="preserve"> sur </w:t>
        </w:r>
        <w:r>
          <w:rPr>
            <w:rFonts w:ascii="Verdana" w:hAnsi="Verdana"/>
            <w:b/>
            <w:bCs/>
            <w:color w:val="7F7F7F" w:themeColor="text1" w:themeTint="80"/>
            <w:sz w:val="16"/>
            <w:szCs w:val="16"/>
          </w:rPr>
          <w:fldChar w:fldCharType="begin"/>
        </w:r>
        <w:r>
          <w:rPr>
            <w:rFonts w:ascii="Verdana" w:hAnsi="Verdana"/>
            <w:b/>
            <w:bCs/>
            <w:color w:val="7F7F7F" w:themeColor="text1" w:themeTint="80"/>
            <w:sz w:val="16"/>
            <w:szCs w:val="16"/>
          </w:rPr>
          <w:instrText>NUMPAGES  \* Arabic  \* MERGEFORMAT</w:instrText>
        </w:r>
        <w:r>
          <w:rPr>
            <w:rFonts w:ascii="Verdana" w:hAnsi="Verdana"/>
            <w:b/>
            <w:bCs/>
            <w:color w:val="7F7F7F" w:themeColor="text1" w:themeTint="80"/>
            <w:sz w:val="16"/>
            <w:szCs w:val="16"/>
          </w:rPr>
          <w:fldChar w:fldCharType="separate"/>
        </w:r>
        <w:r>
          <w:rPr>
            <w:rFonts w:ascii="Verdana" w:hAnsi="Verdana"/>
            <w:b/>
            <w:bCs/>
            <w:noProof/>
            <w:color w:val="7F7F7F" w:themeColor="text1" w:themeTint="80"/>
            <w:sz w:val="16"/>
            <w:szCs w:val="16"/>
          </w:rPr>
          <w:t>4</w:t>
        </w:r>
        <w:r>
          <w:rPr>
            <w:rFonts w:ascii="Verdana" w:hAnsi="Verdana"/>
            <w:b/>
            <w:bCs/>
            <w:color w:val="7F7F7F" w:themeColor="text1" w:themeTint="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5693" o:spid="_x0000_s2050" type="#_x0000_t136" style="position:absolute;left:0;text-align:left;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5692" o:spid="_x0000_s2049" type="#_x0000_t136" style="position:absolute;left:0;text-align:left;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97E"/>
    <w:multiLevelType w:val="hybridMultilevel"/>
    <w:tmpl w:val="BF386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C92BF6"/>
    <w:multiLevelType w:val="hybridMultilevel"/>
    <w:tmpl w:val="8A0C6684"/>
    <w:lvl w:ilvl="0" w:tplc="E09A327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343BA"/>
    <w:multiLevelType w:val="hybridMultilevel"/>
    <w:tmpl w:val="12D004C8"/>
    <w:lvl w:ilvl="0" w:tplc="F79CB28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346BE8"/>
    <w:multiLevelType w:val="hybridMultilevel"/>
    <w:tmpl w:val="0D2CB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4D3A3E"/>
    <w:multiLevelType w:val="hybridMultilevel"/>
    <w:tmpl w:val="0C403370"/>
    <w:lvl w:ilvl="0" w:tplc="0768662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81732C"/>
    <w:multiLevelType w:val="hybridMultilevel"/>
    <w:tmpl w:val="68284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235F57"/>
    <w:multiLevelType w:val="hybridMultilevel"/>
    <w:tmpl w:val="9F62DA22"/>
    <w:lvl w:ilvl="0" w:tplc="44D28104">
      <w:numFmt w:val="bullet"/>
      <w:lvlText w:val=""/>
      <w:lvlJc w:val="left"/>
      <w:pPr>
        <w:ind w:left="1068" w:hanging="360"/>
      </w:pPr>
      <w:rPr>
        <w:rFonts w:ascii="Wingdings" w:eastAsia="Times New Roman" w:hAnsi="Wingdings"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5AE5B73"/>
    <w:multiLevelType w:val="hybridMultilevel"/>
    <w:tmpl w:val="09F8E88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538F4D19"/>
    <w:multiLevelType w:val="hybridMultilevel"/>
    <w:tmpl w:val="EE389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EF6150"/>
    <w:multiLevelType w:val="hybridMultilevel"/>
    <w:tmpl w:val="F0AC9526"/>
    <w:lvl w:ilvl="0" w:tplc="89E0C9BE">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D7089C"/>
    <w:multiLevelType w:val="hybridMultilevel"/>
    <w:tmpl w:val="96EE9A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093832"/>
    <w:multiLevelType w:val="hybridMultilevel"/>
    <w:tmpl w:val="44B8D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6B742E"/>
    <w:multiLevelType w:val="multilevel"/>
    <w:tmpl w:val="AAAA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152343"/>
    <w:multiLevelType w:val="hybridMultilevel"/>
    <w:tmpl w:val="0AB29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984FA3"/>
    <w:multiLevelType w:val="hybridMultilevel"/>
    <w:tmpl w:val="C6B23CF8"/>
    <w:lvl w:ilvl="0" w:tplc="89E0C9BE">
      <w:start w:val="3"/>
      <w:numFmt w:val="bullet"/>
      <w:lvlText w:val="-"/>
      <w:lvlJc w:val="left"/>
      <w:pPr>
        <w:ind w:left="153"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9026F7"/>
    <w:multiLevelType w:val="hybridMultilevel"/>
    <w:tmpl w:val="0B7025A6"/>
    <w:lvl w:ilvl="0" w:tplc="44D28104">
      <w:numFmt w:val="bullet"/>
      <w:lvlText w:val=""/>
      <w:lvlJc w:val="left"/>
      <w:pPr>
        <w:ind w:left="1428" w:hanging="360"/>
      </w:pPr>
      <w:rPr>
        <w:rFonts w:ascii="Wingdings" w:eastAsia="Times New Roman" w:hAnsi="Wingdings" w:cstheme="minorHAns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69B10136"/>
    <w:multiLevelType w:val="hybridMultilevel"/>
    <w:tmpl w:val="BF165B8C"/>
    <w:lvl w:ilvl="0" w:tplc="6DC827A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932438"/>
    <w:multiLevelType w:val="hybridMultilevel"/>
    <w:tmpl w:val="85E65436"/>
    <w:lvl w:ilvl="0" w:tplc="89E0C9BE">
      <w:start w:val="3"/>
      <w:numFmt w:val="bullet"/>
      <w:lvlText w:val="-"/>
      <w:lvlJc w:val="left"/>
      <w:pPr>
        <w:ind w:left="872" w:hanging="360"/>
      </w:pPr>
      <w:rPr>
        <w:rFonts w:ascii="Calibri" w:eastAsia="Times New Roman" w:hAnsi="Calibri" w:cs="Calibri" w:hint="default"/>
      </w:rPr>
    </w:lvl>
    <w:lvl w:ilvl="1" w:tplc="040C0003" w:tentative="1">
      <w:start w:val="1"/>
      <w:numFmt w:val="bullet"/>
      <w:lvlText w:val="o"/>
      <w:lvlJc w:val="left"/>
      <w:pPr>
        <w:ind w:left="1592" w:hanging="360"/>
      </w:pPr>
      <w:rPr>
        <w:rFonts w:ascii="Courier New" w:hAnsi="Courier New" w:cs="Courier New" w:hint="default"/>
      </w:rPr>
    </w:lvl>
    <w:lvl w:ilvl="2" w:tplc="040C0005" w:tentative="1">
      <w:start w:val="1"/>
      <w:numFmt w:val="bullet"/>
      <w:lvlText w:val=""/>
      <w:lvlJc w:val="left"/>
      <w:pPr>
        <w:ind w:left="2312" w:hanging="360"/>
      </w:pPr>
      <w:rPr>
        <w:rFonts w:ascii="Wingdings" w:hAnsi="Wingdings" w:hint="default"/>
      </w:rPr>
    </w:lvl>
    <w:lvl w:ilvl="3" w:tplc="040C0001" w:tentative="1">
      <w:start w:val="1"/>
      <w:numFmt w:val="bullet"/>
      <w:lvlText w:val=""/>
      <w:lvlJc w:val="left"/>
      <w:pPr>
        <w:ind w:left="3032" w:hanging="360"/>
      </w:pPr>
      <w:rPr>
        <w:rFonts w:ascii="Symbol" w:hAnsi="Symbol" w:hint="default"/>
      </w:rPr>
    </w:lvl>
    <w:lvl w:ilvl="4" w:tplc="040C0003" w:tentative="1">
      <w:start w:val="1"/>
      <w:numFmt w:val="bullet"/>
      <w:lvlText w:val="o"/>
      <w:lvlJc w:val="left"/>
      <w:pPr>
        <w:ind w:left="3752" w:hanging="360"/>
      </w:pPr>
      <w:rPr>
        <w:rFonts w:ascii="Courier New" w:hAnsi="Courier New" w:cs="Courier New" w:hint="default"/>
      </w:rPr>
    </w:lvl>
    <w:lvl w:ilvl="5" w:tplc="040C0005" w:tentative="1">
      <w:start w:val="1"/>
      <w:numFmt w:val="bullet"/>
      <w:lvlText w:val=""/>
      <w:lvlJc w:val="left"/>
      <w:pPr>
        <w:ind w:left="4472" w:hanging="360"/>
      </w:pPr>
      <w:rPr>
        <w:rFonts w:ascii="Wingdings" w:hAnsi="Wingdings" w:hint="default"/>
      </w:rPr>
    </w:lvl>
    <w:lvl w:ilvl="6" w:tplc="040C0001" w:tentative="1">
      <w:start w:val="1"/>
      <w:numFmt w:val="bullet"/>
      <w:lvlText w:val=""/>
      <w:lvlJc w:val="left"/>
      <w:pPr>
        <w:ind w:left="5192" w:hanging="360"/>
      </w:pPr>
      <w:rPr>
        <w:rFonts w:ascii="Symbol" w:hAnsi="Symbol" w:hint="default"/>
      </w:rPr>
    </w:lvl>
    <w:lvl w:ilvl="7" w:tplc="040C0003" w:tentative="1">
      <w:start w:val="1"/>
      <w:numFmt w:val="bullet"/>
      <w:lvlText w:val="o"/>
      <w:lvlJc w:val="left"/>
      <w:pPr>
        <w:ind w:left="5912" w:hanging="360"/>
      </w:pPr>
      <w:rPr>
        <w:rFonts w:ascii="Courier New" w:hAnsi="Courier New" w:cs="Courier New" w:hint="default"/>
      </w:rPr>
    </w:lvl>
    <w:lvl w:ilvl="8" w:tplc="040C0005" w:tentative="1">
      <w:start w:val="1"/>
      <w:numFmt w:val="bullet"/>
      <w:lvlText w:val=""/>
      <w:lvlJc w:val="left"/>
      <w:pPr>
        <w:ind w:left="6632" w:hanging="360"/>
      </w:pPr>
      <w:rPr>
        <w:rFonts w:ascii="Wingdings" w:hAnsi="Wingdings" w:hint="default"/>
      </w:rPr>
    </w:lvl>
  </w:abstractNum>
  <w:abstractNum w:abstractNumId="18" w15:restartNumberingAfterBreak="0">
    <w:nsid w:val="77D62C5E"/>
    <w:multiLevelType w:val="hybridMultilevel"/>
    <w:tmpl w:val="9CAC0A5C"/>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786E605D"/>
    <w:multiLevelType w:val="hybridMultilevel"/>
    <w:tmpl w:val="4080E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DE2E61"/>
    <w:multiLevelType w:val="hybridMultilevel"/>
    <w:tmpl w:val="F5D80158"/>
    <w:lvl w:ilvl="0" w:tplc="040C0001">
      <w:start w:val="1"/>
      <w:numFmt w:val="bullet"/>
      <w:lvlText w:val=""/>
      <w:lvlJc w:val="left"/>
      <w:pPr>
        <w:ind w:left="723" w:hanging="360"/>
      </w:pPr>
      <w:rPr>
        <w:rFonts w:ascii="Symbol" w:hAnsi="Symbol"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num w:numId="1">
    <w:abstractNumId w:val="10"/>
  </w:num>
  <w:num w:numId="2">
    <w:abstractNumId w:val="11"/>
  </w:num>
  <w:num w:numId="3">
    <w:abstractNumId w:val="8"/>
  </w:num>
  <w:num w:numId="4">
    <w:abstractNumId w:val="20"/>
  </w:num>
  <w:num w:numId="5">
    <w:abstractNumId w:val="13"/>
  </w:num>
  <w:num w:numId="6">
    <w:abstractNumId w:val="14"/>
  </w:num>
  <w:num w:numId="7">
    <w:abstractNumId w:val="17"/>
  </w:num>
  <w:num w:numId="8">
    <w:abstractNumId w:val="5"/>
  </w:num>
  <w:num w:numId="9">
    <w:abstractNumId w:val="9"/>
  </w:num>
  <w:num w:numId="10">
    <w:abstractNumId w:val="4"/>
  </w:num>
  <w:num w:numId="11">
    <w:abstractNumId w:val="1"/>
  </w:num>
  <w:num w:numId="12">
    <w:abstractNumId w:val="3"/>
  </w:num>
  <w:num w:numId="13">
    <w:abstractNumId w:val="0"/>
  </w:num>
  <w:num w:numId="14">
    <w:abstractNumId w:val="2"/>
  </w:num>
  <w:num w:numId="15">
    <w:abstractNumId w:val="19"/>
  </w:num>
  <w:num w:numId="16">
    <w:abstractNumId w:val="7"/>
  </w:num>
  <w:num w:numId="17">
    <w:abstractNumId w:val="15"/>
  </w:num>
  <w:num w:numId="18">
    <w:abstractNumId w:val="18"/>
  </w:num>
  <w:num w:numId="19">
    <w:abstractNumId w:val="6"/>
  </w:num>
  <w:num w:numId="20">
    <w:abstractNumId w:val="16"/>
  </w:num>
  <w:num w:numId="2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CB51ED0-7350-4DB1-937B-8D8332BC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360"/>
    </w:pPr>
    <w:rPr>
      <w:sz w:val="22"/>
      <w:szCs w:val="22"/>
    </w:rPr>
  </w:style>
  <w:style w:type="paragraph" w:styleId="Titre1">
    <w:name w:val="heading 1"/>
    <w:basedOn w:val="Normal"/>
    <w:next w:val="Normal"/>
    <w:link w:val="Titre1Car"/>
    <w:autoRedefine/>
    <w:uiPriority w:val="9"/>
    <w:qFormat/>
    <w:pPr>
      <w:pBdr>
        <w:bottom w:val="single" w:sz="12" w:space="1" w:color="EF5B34"/>
      </w:pBdr>
      <w:spacing w:after="80"/>
      <w:ind w:firstLine="0"/>
      <w:jc w:val="both"/>
      <w:outlineLvl w:val="0"/>
    </w:pPr>
    <w:rPr>
      <w:rFonts w:asciiTheme="minorHAnsi" w:hAnsiTheme="minorHAnsi" w:cstheme="minorHAnsi"/>
      <w:b/>
      <w:bCs/>
      <w:color w:val="EF5B34"/>
      <w:sz w:val="24"/>
      <w:szCs w:val="24"/>
    </w:rPr>
  </w:style>
  <w:style w:type="paragraph" w:styleId="Titre2">
    <w:name w:val="heading 2"/>
    <w:basedOn w:val="Normal"/>
    <w:next w:val="Normal"/>
    <w:link w:val="Titre2Car"/>
    <w:uiPriority w:val="9"/>
    <w:unhideWhenUsed/>
    <w:qFormat/>
    <w:pPr>
      <w:pBdr>
        <w:bottom w:val="single" w:sz="8" w:space="1" w:color="4F81BD"/>
      </w:pBdr>
      <w:spacing w:before="200" w:after="80"/>
      <w:ind w:firstLine="0"/>
      <w:outlineLvl w:val="1"/>
    </w:pPr>
    <w:rPr>
      <w:rFonts w:ascii="Cambria" w:hAnsi="Cambria"/>
      <w:color w:val="365F91"/>
      <w:sz w:val="24"/>
      <w:szCs w:val="24"/>
    </w:rPr>
  </w:style>
  <w:style w:type="paragraph" w:styleId="Titre3">
    <w:name w:val="heading 3"/>
    <w:basedOn w:val="Normal"/>
    <w:next w:val="Normal"/>
    <w:link w:val="Titre3Car"/>
    <w:uiPriority w:val="9"/>
    <w:unhideWhenUsed/>
    <w:qFormat/>
    <w:pPr>
      <w:pBdr>
        <w:bottom w:val="single" w:sz="4" w:space="1" w:color="95B3D7"/>
      </w:pBdr>
      <w:spacing w:before="200" w:after="80"/>
      <w:ind w:firstLine="0"/>
      <w:outlineLvl w:val="2"/>
    </w:pPr>
    <w:rPr>
      <w:rFonts w:ascii="Cambria" w:hAnsi="Cambria"/>
      <w:color w:val="4F81BD"/>
      <w:sz w:val="24"/>
      <w:szCs w:val="24"/>
    </w:rPr>
  </w:style>
  <w:style w:type="paragraph" w:styleId="Titre4">
    <w:name w:val="heading 4"/>
    <w:basedOn w:val="Normal"/>
    <w:next w:val="Normal"/>
    <w:link w:val="Titre4Car"/>
    <w:uiPriority w:val="9"/>
    <w:unhideWhenUsed/>
    <w:qFormat/>
    <w:pPr>
      <w:pBdr>
        <w:bottom w:val="single" w:sz="4" w:space="2" w:color="B8CCE4"/>
      </w:pBdr>
      <w:spacing w:before="200" w:after="80"/>
      <w:ind w:firstLine="0"/>
      <w:outlineLvl w:val="3"/>
    </w:pPr>
    <w:rPr>
      <w:rFonts w:ascii="Cambria" w:hAnsi="Cambria"/>
      <w:i/>
      <w:iCs/>
      <w:color w:val="4F81BD"/>
      <w:sz w:val="24"/>
      <w:szCs w:val="24"/>
    </w:rPr>
  </w:style>
  <w:style w:type="paragraph" w:styleId="Titre5">
    <w:name w:val="heading 5"/>
    <w:basedOn w:val="Normal"/>
    <w:next w:val="Normal"/>
    <w:link w:val="Titre5Car"/>
    <w:autoRedefine/>
    <w:uiPriority w:val="9"/>
    <w:unhideWhenUsed/>
    <w:qFormat/>
    <w:pPr>
      <w:keepNext/>
      <w:spacing w:before="120" w:after="80"/>
      <w:ind w:firstLine="0"/>
      <w:jc w:val="both"/>
      <w:outlineLvl w:val="4"/>
    </w:pPr>
    <w:rPr>
      <w:rFonts w:ascii="DIN Pro Bold" w:hAnsi="DIN Pro Bold" w:cs="DIN Pro Bold"/>
      <w:color w:val="EF5B34"/>
    </w:rPr>
  </w:style>
  <w:style w:type="paragraph" w:styleId="Titre6">
    <w:name w:val="heading 6"/>
    <w:basedOn w:val="Normal"/>
    <w:next w:val="Normal"/>
    <w:link w:val="Titre6Car"/>
    <w:uiPriority w:val="9"/>
    <w:unhideWhenUsed/>
    <w:qFormat/>
    <w:pPr>
      <w:spacing w:before="280" w:after="100"/>
      <w:ind w:firstLine="0"/>
      <w:outlineLvl w:val="5"/>
    </w:pPr>
    <w:rPr>
      <w:rFonts w:ascii="Cambria" w:hAnsi="Cambria"/>
      <w:i/>
      <w:iCs/>
      <w:color w:val="4F81BD"/>
      <w:sz w:val="20"/>
      <w:szCs w:val="20"/>
    </w:rPr>
  </w:style>
  <w:style w:type="paragraph" w:styleId="Titre7">
    <w:name w:val="heading 7"/>
    <w:basedOn w:val="Normal"/>
    <w:next w:val="Normal"/>
    <w:link w:val="Titre7Car"/>
    <w:uiPriority w:val="9"/>
    <w:unhideWhenUsed/>
    <w:qFormat/>
    <w:pPr>
      <w:spacing w:before="320" w:after="100"/>
      <w:ind w:firstLine="0"/>
      <w:outlineLvl w:val="6"/>
    </w:pPr>
    <w:rPr>
      <w:rFonts w:ascii="Cambria" w:hAnsi="Cambria"/>
      <w:b/>
      <w:bCs/>
      <w:color w:val="9BBB59"/>
      <w:sz w:val="20"/>
      <w:szCs w:val="20"/>
    </w:rPr>
  </w:style>
  <w:style w:type="paragraph" w:styleId="Titre8">
    <w:name w:val="heading 8"/>
    <w:basedOn w:val="Normal"/>
    <w:next w:val="Normal"/>
    <w:link w:val="Titre8Car"/>
    <w:uiPriority w:val="9"/>
    <w:unhideWhenUsed/>
    <w:qFormat/>
    <w:pPr>
      <w:spacing w:before="320" w:after="100"/>
      <w:ind w:firstLine="0"/>
      <w:outlineLvl w:val="7"/>
    </w:pPr>
    <w:rPr>
      <w:rFonts w:ascii="Cambria" w:hAnsi="Cambria"/>
      <w:b/>
      <w:bCs/>
      <w:i/>
      <w:iCs/>
      <w:color w:val="9BBB59"/>
      <w:sz w:val="20"/>
      <w:szCs w:val="20"/>
    </w:rPr>
  </w:style>
  <w:style w:type="paragraph" w:styleId="Titre9">
    <w:name w:val="heading 9"/>
    <w:basedOn w:val="Normal"/>
    <w:next w:val="Normal"/>
    <w:link w:val="Titre9Car"/>
    <w:uiPriority w:val="9"/>
    <w:unhideWhenUsed/>
    <w:qFormat/>
    <w:pPr>
      <w:spacing w:before="320" w:after="100"/>
      <w:ind w:firstLine="0"/>
      <w:outlineLvl w:val="8"/>
    </w:pPr>
    <w:rPr>
      <w:rFonts w:ascii="Cambria" w:hAnsi="Cambria"/>
      <w:i/>
      <w:iCs/>
      <w:color w:val="9BBB5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Theme="minorHAnsi" w:hAnsiTheme="minorHAnsi" w:cstheme="minorHAnsi"/>
      <w:b/>
      <w:bCs/>
      <w:color w:val="EF5B34"/>
      <w:sz w:val="24"/>
      <w:szCs w:val="24"/>
    </w:rPr>
  </w:style>
  <w:style w:type="character" w:customStyle="1" w:styleId="Titre2Car">
    <w:name w:val="Titre 2 Car"/>
    <w:link w:val="Titre2"/>
    <w:uiPriority w:val="9"/>
    <w:rPr>
      <w:rFonts w:ascii="Cambria" w:hAnsi="Cambria"/>
      <w:color w:val="365F91"/>
      <w:sz w:val="24"/>
      <w:szCs w:val="24"/>
    </w:rPr>
  </w:style>
  <w:style w:type="character" w:customStyle="1" w:styleId="Titre3Car">
    <w:name w:val="Titre 3 Car"/>
    <w:link w:val="Titre3"/>
    <w:uiPriority w:val="9"/>
    <w:rPr>
      <w:rFonts w:ascii="Cambria" w:hAnsi="Cambria"/>
      <w:color w:val="4F81BD"/>
      <w:sz w:val="24"/>
      <w:szCs w:val="24"/>
    </w:rPr>
  </w:style>
  <w:style w:type="character" w:customStyle="1" w:styleId="Titre4Car">
    <w:name w:val="Titre 4 Car"/>
    <w:link w:val="Titre4"/>
    <w:uiPriority w:val="9"/>
    <w:rPr>
      <w:rFonts w:ascii="Cambria" w:hAnsi="Cambria"/>
      <w:i/>
      <w:iCs/>
      <w:color w:val="4F81BD"/>
      <w:sz w:val="24"/>
      <w:szCs w:val="24"/>
    </w:rPr>
  </w:style>
  <w:style w:type="character" w:customStyle="1" w:styleId="Titre5Car">
    <w:name w:val="Titre 5 Car"/>
    <w:link w:val="Titre5"/>
    <w:uiPriority w:val="9"/>
    <w:rPr>
      <w:rFonts w:ascii="DIN Pro Bold" w:hAnsi="DIN Pro Bold" w:cs="DIN Pro Bold"/>
      <w:color w:val="EF5B34"/>
      <w:sz w:val="22"/>
      <w:szCs w:val="22"/>
    </w:rPr>
  </w:style>
  <w:style w:type="character" w:customStyle="1" w:styleId="Titre6Car">
    <w:name w:val="Titre 6 Car"/>
    <w:link w:val="Titre6"/>
    <w:uiPriority w:val="9"/>
    <w:rPr>
      <w:rFonts w:ascii="Cambria" w:hAnsi="Cambria"/>
      <w:i/>
      <w:iCs/>
      <w:color w:val="4F81BD"/>
    </w:rPr>
  </w:style>
  <w:style w:type="character" w:customStyle="1" w:styleId="Titre7Car">
    <w:name w:val="Titre 7 Car"/>
    <w:link w:val="Titre7"/>
    <w:uiPriority w:val="9"/>
    <w:rPr>
      <w:rFonts w:ascii="Cambria" w:hAnsi="Cambria"/>
      <w:b/>
      <w:bCs/>
      <w:color w:val="9BBB59"/>
    </w:rPr>
  </w:style>
  <w:style w:type="character" w:customStyle="1" w:styleId="Titre8Car">
    <w:name w:val="Titre 8 Car"/>
    <w:link w:val="Titre8"/>
    <w:uiPriority w:val="9"/>
    <w:rPr>
      <w:rFonts w:ascii="Cambria" w:hAnsi="Cambria"/>
      <w:b/>
      <w:bCs/>
      <w:i/>
      <w:iCs/>
      <w:color w:val="9BBB59"/>
    </w:rPr>
  </w:style>
  <w:style w:type="character" w:customStyle="1" w:styleId="Titre9Car">
    <w:name w:val="Titre 9 Car"/>
    <w:link w:val="Titre9"/>
    <w:uiPriority w:val="9"/>
    <w:rPr>
      <w:rFonts w:ascii="Cambria" w:hAnsi="Cambria"/>
      <w:i/>
      <w:iCs/>
      <w:color w:val="9BBB59"/>
    </w:rPr>
  </w:style>
  <w:style w:type="paragraph" w:styleId="Lgende">
    <w:name w:val="caption"/>
    <w:basedOn w:val="Normal"/>
    <w:next w:val="Normal"/>
    <w:uiPriority w:val="35"/>
    <w:unhideWhenUsed/>
    <w:qFormat/>
    <w:rPr>
      <w:b/>
      <w:bCs/>
      <w:sz w:val="18"/>
      <w:szCs w:val="18"/>
    </w:rPr>
  </w:style>
  <w:style w:type="paragraph" w:styleId="Titre">
    <w:name w:val="Title"/>
    <w:basedOn w:val="Normal"/>
    <w:next w:val="Normal"/>
    <w:link w:val="TitreCar"/>
    <w:uiPriority w:val="10"/>
    <w:qFormat/>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reCar">
    <w:name w:val="Titre Car"/>
    <w:link w:val="Titre"/>
    <w:uiPriority w:val="10"/>
    <w:rPr>
      <w:rFonts w:ascii="Cambria" w:hAnsi="Cambria"/>
      <w:i/>
      <w:iCs/>
      <w:color w:val="243F60"/>
      <w:sz w:val="60"/>
      <w:szCs w:val="60"/>
    </w:rPr>
  </w:style>
  <w:style w:type="paragraph" w:styleId="Sous-titre">
    <w:name w:val="Subtitle"/>
    <w:basedOn w:val="Normal"/>
    <w:next w:val="Normal"/>
    <w:link w:val="Sous-titreCar"/>
    <w:uiPriority w:val="11"/>
    <w:qFormat/>
    <w:pPr>
      <w:spacing w:before="200" w:after="900"/>
      <w:ind w:firstLine="0"/>
      <w:jc w:val="right"/>
    </w:pPr>
    <w:rPr>
      <w:i/>
      <w:iCs/>
      <w:sz w:val="24"/>
      <w:szCs w:val="24"/>
    </w:rPr>
  </w:style>
  <w:style w:type="character" w:customStyle="1" w:styleId="Sous-titreCar">
    <w:name w:val="Sous-titre Car"/>
    <w:link w:val="Sous-titre"/>
    <w:uiPriority w:val="11"/>
    <w:rPr>
      <w:i/>
      <w:iCs/>
      <w:sz w:val="24"/>
      <w:szCs w:val="24"/>
    </w:rPr>
  </w:style>
  <w:style w:type="character" w:styleId="lev">
    <w:name w:val="Strong"/>
    <w:uiPriority w:val="22"/>
    <w:qFormat/>
    <w:rPr>
      <w:b/>
      <w:bCs/>
      <w:spacing w:val="0"/>
    </w:rPr>
  </w:style>
  <w:style w:type="character" w:styleId="Accentuation">
    <w:name w:val="Emphasis"/>
    <w:uiPriority w:val="20"/>
    <w:qFormat/>
    <w:rPr>
      <w:b/>
      <w:bCs/>
      <w:i/>
      <w:iCs/>
      <w:color w:val="5A5A5A"/>
    </w:rPr>
  </w:style>
  <w:style w:type="paragraph" w:styleId="Sansinterligne">
    <w:name w:val="No Spacing"/>
    <w:basedOn w:val="Normal"/>
    <w:link w:val="SansinterligneCar"/>
    <w:uiPriority w:val="1"/>
    <w:qFormat/>
    <w:pPr>
      <w:ind w:firstLine="0"/>
    </w:pPr>
    <w:rPr>
      <w:sz w:val="20"/>
      <w:szCs w:val="20"/>
    </w:rPr>
  </w:style>
  <w:style w:type="character" w:customStyle="1" w:styleId="SansinterligneCar">
    <w:name w:val="Sans interligne Car"/>
    <w:link w:val="Sansinterligne"/>
    <w:uiPriority w:val="1"/>
  </w:style>
  <w:style w:type="paragraph" w:styleId="Paragraphedeliste">
    <w:name w:val="List Paragraph"/>
    <w:basedOn w:val="Normal"/>
    <w:uiPriority w:val="34"/>
    <w:qFormat/>
    <w:pPr>
      <w:ind w:left="720"/>
      <w:contextualSpacing/>
    </w:pPr>
  </w:style>
  <w:style w:type="paragraph" w:styleId="Citation">
    <w:name w:val="Quote"/>
    <w:basedOn w:val="Normal"/>
    <w:next w:val="Normal"/>
    <w:link w:val="CitationCar"/>
    <w:uiPriority w:val="29"/>
    <w:qFormat/>
    <w:rPr>
      <w:rFonts w:ascii="Cambria" w:hAnsi="Cambria"/>
      <w:i/>
      <w:iCs/>
      <w:color w:val="5A5A5A"/>
      <w:sz w:val="20"/>
      <w:szCs w:val="20"/>
    </w:rPr>
  </w:style>
  <w:style w:type="character" w:customStyle="1" w:styleId="CitationCar">
    <w:name w:val="Citation Car"/>
    <w:link w:val="Citation"/>
    <w:uiPriority w:val="29"/>
    <w:rPr>
      <w:rFonts w:ascii="Cambria" w:hAnsi="Cambria"/>
      <w:i/>
      <w:iCs/>
      <w:color w:val="5A5A5A"/>
    </w:rPr>
  </w:style>
  <w:style w:type="paragraph" w:styleId="Citationintense">
    <w:name w:val="Intense Quote"/>
    <w:basedOn w:val="Normal"/>
    <w:next w:val="Normal"/>
    <w:link w:val="CitationintenseCar"/>
    <w:uiPriority w:val="30"/>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tionintenseCar">
    <w:name w:val="Citation intense Car"/>
    <w:link w:val="Citationintense"/>
    <w:uiPriority w:val="30"/>
    <w:rPr>
      <w:rFonts w:ascii="Cambria" w:hAnsi="Cambria"/>
      <w:i/>
      <w:iCs/>
      <w:color w:val="FFFFFF"/>
      <w:sz w:val="24"/>
      <w:szCs w:val="24"/>
      <w:shd w:val="clear" w:color="auto" w:fill="4F81BD"/>
    </w:rPr>
  </w:style>
  <w:style w:type="character" w:styleId="Emphaseple">
    <w:name w:val="Subtle Emphasis"/>
    <w:uiPriority w:val="19"/>
    <w:qFormat/>
    <w:rPr>
      <w:i/>
      <w:iCs/>
      <w:color w:val="5A5A5A"/>
    </w:rPr>
  </w:style>
  <w:style w:type="character" w:styleId="Emphaseintense">
    <w:name w:val="Intense Emphasis"/>
    <w:uiPriority w:val="21"/>
    <w:qFormat/>
    <w:rPr>
      <w:b/>
      <w:bCs/>
      <w:i/>
      <w:iCs/>
      <w:color w:val="4F81BD"/>
      <w:sz w:val="22"/>
      <w:szCs w:val="22"/>
    </w:rPr>
  </w:style>
  <w:style w:type="character" w:styleId="Rfrenceple">
    <w:name w:val="Subtle Reference"/>
    <w:uiPriority w:val="31"/>
    <w:qFormat/>
    <w:rPr>
      <w:color w:val="auto"/>
      <w:u w:val="single" w:color="9BBB59"/>
    </w:rPr>
  </w:style>
  <w:style w:type="character" w:styleId="Rfrenceintense">
    <w:name w:val="Intense Reference"/>
    <w:uiPriority w:val="32"/>
    <w:qFormat/>
    <w:rPr>
      <w:b/>
      <w:bCs/>
      <w:color w:val="76923C"/>
      <w:u w:val="single" w:color="9BBB59"/>
    </w:rPr>
  </w:style>
  <w:style w:type="character" w:styleId="Titredulivre">
    <w:name w:val="Book Title"/>
    <w:uiPriority w:val="33"/>
    <w:qFormat/>
    <w:rPr>
      <w:rFonts w:ascii="Cambria" w:eastAsia="Times New Roman" w:hAnsi="Cambria" w:cs="Times New Roman"/>
      <w:b/>
      <w:bCs/>
      <w:i/>
      <w:iCs/>
      <w:color w:val="auto"/>
    </w:rPr>
  </w:style>
  <w:style w:type="paragraph" w:styleId="En-ttedetabledesmatires">
    <w:name w:val="TOC Heading"/>
    <w:basedOn w:val="Titre1"/>
    <w:next w:val="Normal"/>
    <w:uiPriority w:val="39"/>
    <w:unhideWhenUsed/>
    <w:qFormat/>
    <w:pPr>
      <w:outlineLvl w:val="9"/>
    </w:pPr>
    <w:rPr>
      <w:lang w:bidi="en-US"/>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sz w:val="22"/>
      <w:szCs w:val="22"/>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sz w:val="22"/>
      <w:szCs w:val="22"/>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style>
  <w:style w:type="character" w:styleId="Appelnotedebasdep">
    <w:name w:val="footnote reference"/>
    <w:basedOn w:val="Policepardfaut"/>
    <w:uiPriority w:val="99"/>
    <w:semiHidden/>
    <w:unhideWhenUsed/>
    <w:rPr>
      <w:vertAlign w:val="superscript"/>
    </w:rPr>
  </w:style>
  <w:style w:type="paragraph" w:styleId="NormalWeb">
    <w:name w:val="Normal (Web)"/>
    <w:basedOn w:val="Normal"/>
    <w:uiPriority w:val="99"/>
    <w:semiHidden/>
    <w:unhideWhenUsed/>
    <w:pPr>
      <w:ind w:firstLine="0"/>
    </w:pPr>
    <w:rPr>
      <w:rFonts w:ascii="Times New Roman" w:hAnsi="Times New Roman"/>
      <w:sz w:val="24"/>
      <w:szCs w:val="24"/>
    </w:rPr>
  </w:style>
  <w:style w:type="paragraph" w:styleId="Rvision">
    <w:name w:val="Revision"/>
    <w:hidden/>
    <w:uiPriority w:val="99"/>
    <w:semiHidden/>
    <w:rPr>
      <w:sz w:val="22"/>
      <w:szCs w:val="22"/>
    </w:rPr>
  </w:style>
  <w:style w:type="character" w:styleId="Lienhypertexte">
    <w:name w:val="Hyperlink"/>
    <w:basedOn w:val="Policepardfaut"/>
    <w:uiPriority w:val="99"/>
    <w:unhideWhenUsed/>
    <w:rPr>
      <w:color w:val="0000FF" w:themeColor="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4903">
      <w:bodyDiv w:val="1"/>
      <w:marLeft w:val="0"/>
      <w:marRight w:val="0"/>
      <w:marTop w:val="0"/>
      <w:marBottom w:val="0"/>
      <w:divBdr>
        <w:top w:val="none" w:sz="0" w:space="0" w:color="auto"/>
        <w:left w:val="none" w:sz="0" w:space="0" w:color="auto"/>
        <w:bottom w:val="none" w:sz="0" w:space="0" w:color="auto"/>
        <w:right w:val="none" w:sz="0" w:space="0" w:color="auto"/>
      </w:divBdr>
    </w:div>
    <w:div w:id="909655593">
      <w:bodyDiv w:val="1"/>
      <w:marLeft w:val="0"/>
      <w:marRight w:val="0"/>
      <w:marTop w:val="0"/>
      <w:marBottom w:val="0"/>
      <w:divBdr>
        <w:top w:val="none" w:sz="0" w:space="0" w:color="auto"/>
        <w:left w:val="none" w:sz="0" w:space="0" w:color="auto"/>
        <w:bottom w:val="none" w:sz="0" w:space="0" w:color="auto"/>
        <w:right w:val="none" w:sz="0" w:space="0" w:color="auto"/>
      </w:divBdr>
    </w:div>
    <w:div w:id="1381713176">
      <w:bodyDiv w:val="1"/>
      <w:marLeft w:val="0"/>
      <w:marRight w:val="0"/>
      <w:marTop w:val="0"/>
      <w:marBottom w:val="0"/>
      <w:divBdr>
        <w:top w:val="none" w:sz="0" w:space="0" w:color="auto"/>
        <w:left w:val="none" w:sz="0" w:space="0" w:color="auto"/>
        <w:bottom w:val="none" w:sz="0" w:space="0" w:color="auto"/>
        <w:right w:val="none" w:sz="0" w:space="0" w:color="auto"/>
      </w:divBdr>
      <w:divsChild>
        <w:div w:id="1938976835">
          <w:marLeft w:val="0"/>
          <w:marRight w:val="0"/>
          <w:marTop w:val="150"/>
          <w:marBottom w:val="0"/>
          <w:divBdr>
            <w:top w:val="none" w:sz="0" w:space="0" w:color="auto"/>
            <w:left w:val="none" w:sz="0" w:space="0" w:color="auto"/>
            <w:bottom w:val="none" w:sz="0" w:space="0" w:color="auto"/>
            <w:right w:val="none" w:sz="0" w:space="0" w:color="auto"/>
          </w:divBdr>
          <w:divsChild>
            <w:div w:id="1280992166">
              <w:marLeft w:val="0"/>
              <w:marRight w:val="0"/>
              <w:marTop w:val="0"/>
              <w:marBottom w:val="0"/>
              <w:divBdr>
                <w:top w:val="none" w:sz="0" w:space="0" w:color="auto"/>
                <w:left w:val="none" w:sz="0" w:space="0" w:color="auto"/>
                <w:bottom w:val="none" w:sz="0" w:space="0" w:color="auto"/>
                <w:right w:val="none" w:sz="0" w:space="0" w:color="auto"/>
              </w:divBdr>
              <w:divsChild>
                <w:div w:id="392776671">
                  <w:marLeft w:val="0"/>
                  <w:marRight w:val="0"/>
                  <w:marTop w:val="0"/>
                  <w:marBottom w:val="0"/>
                  <w:divBdr>
                    <w:top w:val="none" w:sz="0" w:space="0" w:color="auto"/>
                    <w:left w:val="none" w:sz="0" w:space="0" w:color="auto"/>
                    <w:bottom w:val="none" w:sz="0" w:space="0" w:color="auto"/>
                    <w:right w:val="none" w:sz="0" w:space="0" w:color="auto"/>
                  </w:divBdr>
                  <w:divsChild>
                    <w:div w:id="2041708578">
                      <w:marLeft w:val="0"/>
                      <w:marRight w:val="0"/>
                      <w:marTop w:val="0"/>
                      <w:marBottom w:val="0"/>
                      <w:divBdr>
                        <w:top w:val="none" w:sz="0" w:space="0" w:color="auto"/>
                        <w:left w:val="none" w:sz="0" w:space="0" w:color="auto"/>
                        <w:bottom w:val="none" w:sz="0" w:space="0" w:color="auto"/>
                        <w:right w:val="none" w:sz="0" w:space="0" w:color="auto"/>
                      </w:divBdr>
                      <w:divsChild>
                        <w:div w:id="87203516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9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presentants.usagers@lpv.univi.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3348B-3014-47C2-87B7-1D8ECE9C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2062</Words>
  <Characters>11344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SACHEAU Sophie</dc:creator>
  <cp:lastModifiedBy>Mathilde YU-YUENG</cp:lastModifiedBy>
  <cp:revision>27</cp:revision>
  <cp:lastPrinted>2022-08-30T10:36:00Z</cp:lastPrinted>
  <dcterms:created xsi:type="dcterms:W3CDTF">2022-04-08T09:57:00Z</dcterms:created>
  <dcterms:modified xsi:type="dcterms:W3CDTF">2024-10-21T08:46:00Z</dcterms:modified>
  <cp:contentStatus/>
</cp:coreProperties>
</file>